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_rels/document.xml.rels" ContentType="application/vnd.openxmlformats-package.relationships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jpeg" ContentType="image/jpeg"/>
  <Override PartName="/word/media/image3.jpeg" ContentType="image/jpeg"/>
  <Override PartName="/word/header4.xml" ContentType="application/vnd.openxmlformats-officedocument.wordprocessingml.head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2"/>
          <w:szCs w:val="2"/>
        </w:rPr>
      </w:pPr>
      <w:r>
        <w:rPr/>
        <w:drawing>
          <wp:inline distT="0" distB="0" distL="0" distR="0">
            <wp:extent cx="1739265" cy="1353185"/>
            <wp:effectExtent l="0" t="0" r="0" b="0"/>
            <wp:docPr id="1" name="Picut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ut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1" w:before="0" w:after="399"/>
        <w:rPr/>
      </w:pPr>
      <w:r>
        <w:rPr/>
      </w:r>
    </w:p>
    <w:p>
      <w:pPr>
        <w:pStyle w:val="11"/>
        <w:shd w:val="clear" w:color="auto" w:fill="auto"/>
        <w:spacing w:before="0" w:after="320"/>
        <w:ind w:hanging="0"/>
        <w:jc w:val="center"/>
        <w:rPr/>
      </w:pPr>
      <w:r>
        <w:rPr>
          <w:b/>
          <w:bCs/>
        </w:rPr>
        <w:t>МИНИСТЕРСТВО РОССИЙСКОЙ ФЕДЕРАЦИИ</w:t>
        <w:br/>
        <w:t>ПО ДЕЛАМ ГРАЖДАНСКОЙ ОБОРОНЫ,</w:t>
        <w:br/>
        <w:t>ЧРЕЗВЫЧАЙНЫМ СИТУАЦИЯМ И ЛИКВИДАЦИИ</w:t>
        <w:br/>
        <w:t>ПОСЛЕДСТВИЙ СТИХИЙНЫХ БЕДСТВИЙ</w:t>
      </w:r>
    </w:p>
    <w:p>
      <w:pPr>
        <w:pStyle w:val="11"/>
        <w:shd w:val="clear" w:color="auto" w:fill="auto"/>
        <w:spacing w:before="0" w:after="320"/>
        <w:ind w:hanging="0"/>
        <w:jc w:val="center"/>
        <w:rPr/>
      </w:pPr>
      <w:r>
        <w:rPr>
          <w:b/>
          <w:bCs/>
        </w:rPr>
        <w:t>ГЛАВНОЕ УПРАВЛЕНИЕ МЧС РОССИИ</w:t>
        <w:br/>
        <w:t>ПО ПРИМОРСКОМУ КРАЮ</w:t>
      </w:r>
    </w:p>
    <w:p>
      <w:pPr>
        <w:pStyle w:val="11"/>
        <w:shd w:val="clear" w:color="auto" w:fill="auto"/>
        <w:spacing w:before="0" w:after="400"/>
        <w:ind w:hanging="0"/>
        <w:jc w:val="center"/>
        <w:rPr/>
      </w:pPr>
      <w:r>
        <w:rPr>
          <w:b/>
          <w:bCs/>
        </w:rPr>
        <w:t>УПРАВЛЕНИЕ ПО НАДЗОРНОЙ ДЕЯТЕЛЬНОСТИ</w:t>
        <w:br/>
        <w:t>И ПРОФИЛАКТИЧЕСКОЙ РАБОТЫ</w:t>
      </w:r>
    </w:p>
    <w:p>
      <w:pPr>
        <w:pStyle w:val="Normal"/>
        <w:jc w:val="center"/>
        <w:rPr>
          <w:sz w:val="2"/>
          <w:szCs w:val="2"/>
        </w:rPr>
      </w:pPr>
      <w:r>
        <w:rPr>
          <w:sz w:val="2"/>
          <w:szCs w:val="2"/>
        </w:rPr>
      </w:r>
    </w:p>
    <w:p>
      <w:pPr>
        <w:pStyle w:val="Normal"/>
        <w:spacing w:lineRule="exact" w:line="1" w:before="0" w:after="719"/>
        <w:rPr/>
      </w:pPr>
      <w:r>
        <w:rPr/>
      </w:r>
    </w:p>
    <w:p>
      <w:pPr>
        <w:pStyle w:val="11"/>
        <w:shd w:val="clear" w:color="auto" w:fill="auto"/>
        <w:spacing w:lineRule="auto" w:line="240" w:before="0" w:after="320"/>
        <w:ind w:hanging="0"/>
        <w:jc w:val="center"/>
        <w:rPr/>
      </w:pPr>
      <w:r>
        <w:rPr/>
        <w:t>МЕТОДИЧЕСКИЕ РЕКОМЕНДАЦИИ</w:t>
      </w:r>
    </w:p>
    <w:p>
      <w:pPr>
        <w:pStyle w:val="11"/>
        <w:shd w:val="clear" w:color="auto" w:fill="auto"/>
        <w:spacing w:lineRule="auto" w:line="240" w:before="0" w:after="140"/>
        <w:ind w:hanging="0"/>
        <w:jc w:val="center"/>
        <w:rPr/>
      </w:pPr>
      <w:r>
        <w:rPr>
          <w:b/>
          <w:bCs/>
        </w:rPr>
        <w:t>«Печное отопление. Требования к эксплуатации»</w:t>
        <w:br/>
      </w:r>
    </w:p>
    <w:p>
      <w:pPr>
        <w:pStyle w:val="11"/>
        <w:shd w:val="clear" w:color="auto" w:fill="auto"/>
        <w:spacing w:lineRule="auto" w:line="240" w:before="0" w:after="140"/>
        <w:ind w:hanging="0"/>
        <w:jc w:val="center"/>
        <w:rPr/>
      </w:pPr>
      <w:r>
        <w:rPr/>
      </w:r>
    </w:p>
    <w:p>
      <w:pPr>
        <w:pStyle w:val="11"/>
        <w:shd w:val="clear" w:color="auto" w:fill="auto"/>
        <w:spacing w:lineRule="auto" w:line="240" w:before="0" w:after="140"/>
        <w:ind w:hanging="0"/>
        <w:jc w:val="center"/>
        <w:rPr/>
      </w:pPr>
      <w:r>
        <w:rPr/>
      </w:r>
    </w:p>
    <w:p>
      <w:pPr>
        <w:pStyle w:val="11"/>
        <w:shd w:val="clear" w:color="auto" w:fill="auto"/>
        <w:spacing w:lineRule="auto" w:line="240" w:before="0" w:after="140"/>
        <w:ind w:hanging="0"/>
        <w:jc w:val="center"/>
        <w:rPr/>
      </w:pPr>
      <w:r>
        <w:rPr/>
      </w:r>
    </w:p>
    <w:p>
      <w:pPr>
        <w:pStyle w:val="11"/>
        <w:shd w:val="clear" w:color="auto" w:fill="auto"/>
        <w:spacing w:lineRule="auto" w:line="240" w:before="0" w:after="140"/>
        <w:ind w:hanging="0"/>
        <w:jc w:val="center"/>
        <w:rPr/>
      </w:pPr>
      <w:r>
        <w:rPr/>
      </w:r>
    </w:p>
    <w:p>
      <w:pPr>
        <w:pStyle w:val="11"/>
        <w:shd w:val="clear" w:color="auto" w:fill="auto"/>
        <w:spacing w:lineRule="auto" w:line="240" w:before="0" w:after="140"/>
        <w:ind w:hanging="0"/>
        <w:jc w:val="center"/>
        <w:rPr/>
      </w:pPr>
      <w:r>
        <w:rPr/>
      </w:r>
    </w:p>
    <w:p>
      <w:pPr>
        <w:pStyle w:val="11"/>
        <w:shd w:val="clear" w:color="auto" w:fill="auto"/>
        <w:spacing w:lineRule="auto" w:line="240" w:before="0" w:after="140"/>
        <w:ind w:hanging="0"/>
        <w:jc w:val="center"/>
        <w:rPr/>
      </w:pPr>
      <w:r>
        <w:rPr/>
      </w:r>
    </w:p>
    <w:p>
      <w:pPr>
        <w:pStyle w:val="11"/>
        <w:shd w:val="clear" w:color="auto" w:fill="auto"/>
        <w:spacing w:lineRule="auto" w:line="240" w:before="0" w:after="140"/>
        <w:ind w:hanging="0"/>
        <w:jc w:val="center"/>
        <w:rPr/>
      </w:pPr>
      <w:r>
        <w:rPr/>
      </w:r>
    </w:p>
    <w:p>
      <w:pPr>
        <w:pStyle w:val="11"/>
        <w:shd w:val="clear" w:color="auto" w:fill="auto"/>
        <w:spacing w:lineRule="auto" w:line="240" w:before="0" w:after="140"/>
        <w:ind w:hanging="0"/>
        <w:jc w:val="center"/>
        <w:rPr/>
      </w:pPr>
      <w:r>
        <w:rPr/>
      </w:r>
    </w:p>
    <w:p>
      <w:pPr>
        <w:pStyle w:val="11"/>
        <w:shd w:val="clear" w:color="auto" w:fill="auto"/>
        <w:spacing w:lineRule="auto" w:line="240" w:before="0" w:after="140"/>
        <w:ind w:hanging="0"/>
        <w:jc w:val="center"/>
        <w:rPr/>
      </w:pPr>
      <w:r>
        <w:rPr/>
      </w:r>
    </w:p>
    <w:p>
      <w:pPr>
        <w:pStyle w:val="11"/>
        <w:shd w:val="clear" w:color="auto" w:fill="auto"/>
        <w:spacing w:lineRule="auto" w:line="240" w:before="0" w:after="140"/>
        <w:ind w:hanging="0"/>
        <w:jc w:val="center"/>
        <w:rPr/>
      </w:pPr>
      <w:r>
        <w:rPr/>
      </w:r>
    </w:p>
    <w:p>
      <w:pPr>
        <w:pStyle w:val="11"/>
        <w:shd w:val="clear" w:color="auto" w:fill="auto"/>
        <w:spacing w:lineRule="auto" w:line="240" w:before="0" w:after="140"/>
        <w:ind w:hanging="0"/>
        <w:jc w:val="center"/>
        <w:rPr/>
      </w:pPr>
      <w:r>
        <w:rPr/>
      </w:r>
    </w:p>
    <w:p>
      <w:pPr>
        <w:pStyle w:val="11"/>
        <w:shd w:val="clear" w:color="auto" w:fill="auto"/>
        <w:spacing w:lineRule="auto" w:line="240" w:before="0" w:after="140"/>
        <w:ind w:hanging="0"/>
        <w:jc w:val="center"/>
        <w:rPr/>
      </w:pPr>
      <w:r>
        <w:rPr/>
        <w:t>г. Владивосток</w:t>
        <w:br/>
        <w:t>2024 г.</w:t>
      </w:r>
    </w:p>
    <w:p>
      <w:pPr>
        <w:pStyle w:val="Normal"/>
        <w:jc w:val="center"/>
        <w:rPr>
          <w:lang w:bidi="ar-SA"/>
        </w:rPr>
      </w:pPr>
      <w:r>
        <w:rPr>
          <w:lang w:bidi="ar-SA"/>
        </w:rPr>
      </w:r>
    </w:p>
    <w:p>
      <w:pPr>
        <w:pStyle w:val="Normal"/>
        <w:jc w:val="center"/>
        <w:rPr>
          <w:lang w:bidi="ar-SA"/>
        </w:rPr>
      </w:pPr>
      <w:r>
        <w:rPr>
          <w:lang w:bidi="ar-SA"/>
        </w:rPr>
      </w:r>
    </w:p>
    <w:p>
      <w:pPr>
        <w:pStyle w:val="Normal"/>
        <w:jc w:val="center"/>
        <w:rPr>
          <w:lang w:bidi="ar-SA"/>
        </w:rPr>
      </w:pPr>
      <w:r>
        <w:rPr>
          <w:lang w:bidi="ar-SA"/>
        </w:rPr>
      </w:r>
    </w:p>
    <w:p>
      <w:pPr>
        <w:pStyle w:val="Normal"/>
        <w:jc w:val="center"/>
        <w:rPr>
          <w:lang w:bidi="ar-SA"/>
        </w:rPr>
      </w:pPr>
      <w:r>
        <w:rPr>
          <w:lang w:bidi="ar-SA"/>
        </w:rPr>
      </w:r>
    </w:p>
    <w:p>
      <w:pPr>
        <w:pStyle w:val="Normal"/>
        <w:jc w:val="center"/>
        <w:rPr>
          <w:lang w:bidi="ar-SA"/>
        </w:rPr>
      </w:pPr>
      <w:r>
        <w:rPr>
          <w:lang w:bidi="ar-SA"/>
        </w:rPr>
      </w:r>
    </w:p>
    <w:p>
      <w:pPr>
        <w:pStyle w:val="Normal"/>
        <w:jc w:val="center"/>
        <w:rPr>
          <w:sz w:val="2"/>
          <w:szCs w:val="2"/>
        </w:rPr>
      </w:pPr>
      <w:r>
        <w:rPr>
          <w:sz w:val="2"/>
          <w:szCs w:val="2"/>
        </w:rPr>
      </w:r>
    </w:p>
    <w:p>
      <w:pPr>
        <w:pStyle w:val="11"/>
        <w:shd w:val="clear" w:color="auto" w:fill="auto"/>
        <w:spacing w:before="0" w:after="240"/>
        <w:ind w:hanging="0"/>
        <w:jc w:val="center"/>
        <w:rPr/>
      </w:pPr>
      <w:r>
        <w:rPr>
          <w:b/>
          <w:bCs/>
        </w:rPr>
        <w:t>СОДЕРЖАНИЕ:</w:t>
      </w:r>
    </w:p>
    <w:p>
      <w:pPr>
        <w:pStyle w:val="11"/>
        <w:shd w:val="clear" w:color="auto" w:fill="auto"/>
        <w:tabs>
          <w:tab w:val="clear" w:pos="708"/>
          <w:tab w:val="right" w:pos="9515" w:leader="none"/>
        </w:tabs>
        <w:ind w:firstLine="160"/>
        <w:rPr/>
      </w:pPr>
      <w:r>
        <w:rPr>
          <w:b/>
          <w:bCs/>
        </w:rPr>
        <w:t xml:space="preserve">ВВЕДЕНИЕ 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Style27"/>
            <w:numPr>
              <w:ilvl w:val="0"/>
              <w:numId w:val="1"/>
            </w:numPr>
            <w:shd w:fill="FFFFFF" w:val="clear"/>
            <w:tabs>
              <w:tab w:val="clear" w:pos="708"/>
              <w:tab w:val="left" w:pos="566" w:leader="none"/>
              <w:tab w:val="right" w:pos="9508" w:leader="none"/>
            </w:tabs>
            <w:rPr/>
          </w:pPr>
          <w:r>
            <w:fldChar w:fldCharType="begin"/>
          </w:r>
          <w:r>
            <w:rPr>
              <w:webHidden/>
              <w:vanish w:val="false"/>
            </w:rPr>
            <w:instrText> TOC \z \o "1-5" \h</w:instrText>
          </w:r>
          <w:r>
            <w:rPr>
              <w:webHidden/>
              <w:vanish w:val="false"/>
            </w:rPr>
            <w:fldChar w:fldCharType="separate"/>
          </w:r>
          <w:hyperlink w:anchor="bookmark2" w:tgtFrame="Current Document">
            <w:r>
              <w:rPr>
                <w:webHidden/>
                <w:vanish w:val="false"/>
              </w:rPr>
              <w:t>ОБЩИЕ ПОЛОЖЕНИЯ</w:t>
              <w:tab/>
            </w:r>
            <w:r>
              <w:rPr>
                <w:b w:val="false"/>
                <w:bCs w:val="false"/>
              </w:rPr>
              <w:t>4</w:t>
            </w:r>
          </w:hyperlink>
        </w:p>
        <w:p>
          <w:pPr>
            <w:pStyle w:val="Style27"/>
            <w:numPr>
              <w:ilvl w:val="0"/>
              <w:numId w:val="1"/>
            </w:numPr>
            <w:shd w:val="clear" w:color="auto" w:fill="auto"/>
            <w:tabs>
              <w:tab w:val="clear" w:pos="708"/>
              <w:tab w:val="left" w:pos="566" w:leader="none"/>
              <w:tab w:val="right" w:pos="9508" w:leader="none"/>
            </w:tabs>
            <w:rPr/>
          </w:pPr>
          <w:hyperlink w:anchor="bookmark4" w:tgtFrame="Current Document">
            <w:r>
              <w:rPr>
                <w:webHidden/>
                <w:vanish w:val="false"/>
              </w:rPr>
              <w:t>ПОЖАРНАЯ ОПАСНОСТЬ ПЕЧНОГО ОТОПЛЕНИЯ</w:t>
              <w:tab/>
            </w:r>
            <w:r>
              <w:rPr>
                <w:b w:val="false"/>
                <w:bCs w:val="false"/>
              </w:rPr>
              <w:t>5</w:t>
            </w:r>
          </w:hyperlink>
        </w:p>
        <w:p>
          <w:pPr>
            <w:pStyle w:val="Style27"/>
            <w:numPr>
              <w:ilvl w:val="0"/>
              <w:numId w:val="1"/>
            </w:numPr>
            <w:shd w:val="clear" w:color="auto" w:fill="auto"/>
            <w:tabs>
              <w:tab w:val="clear" w:pos="708"/>
              <w:tab w:val="left" w:pos="547" w:leader="none"/>
              <w:tab w:val="right" w:pos="9508" w:leader="none"/>
            </w:tabs>
            <w:rPr/>
          </w:pPr>
          <w:hyperlink w:anchor="bookmark6" w:tgtFrame="Current Document">
            <w:r>
              <w:rPr>
                <w:webHidden/>
                <w:vanish w:val="false"/>
              </w:rPr>
              <w:t>ТРЕБОВАНИЯ ПОЖАРНОЙ БЕЗОПАСНОСТИ К</w:t>
              <w:tab/>
            </w:r>
            <w:r>
              <w:rPr>
                <w:b w:val="false"/>
                <w:bCs w:val="false"/>
              </w:rPr>
              <w:t>6</w:t>
            </w:r>
          </w:hyperlink>
        </w:p>
        <w:p>
          <w:pPr>
            <w:pStyle w:val="Style27"/>
            <w:shd w:val="clear" w:color="auto" w:fill="auto"/>
            <w:ind w:firstLine="460"/>
            <w:rPr>
              <w:color w:val="auto"/>
            </w:rPr>
          </w:pPr>
          <w:r>
            <w:rPr/>
            <w:t>ПЕЧНОМУ ОТОПЛЕНИЮ</w:t>
          </w:r>
        </w:p>
        <w:p>
          <w:pPr>
            <w:pStyle w:val="Style27"/>
            <w:numPr>
              <w:ilvl w:val="0"/>
              <w:numId w:val="1"/>
            </w:numPr>
            <w:shd w:val="clear" w:color="auto" w:fill="auto"/>
            <w:tabs>
              <w:tab w:val="clear" w:pos="708"/>
              <w:tab w:val="left" w:pos="552" w:leader="none"/>
              <w:tab w:val="right" w:pos="9508" w:leader="none"/>
            </w:tabs>
            <w:rPr>
              <w:color w:val="auto"/>
            </w:rPr>
          </w:pPr>
          <w:r>
            <w:rPr/>
            <w:t>ХАРАКТЕРИСТИКА И ПОЖАРНАЯ ОПАСНОСТЬ</w:t>
            <w:tab/>
          </w:r>
          <w:r>
            <w:rPr>
              <w:b w:val="false"/>
              <w:bCs w:val="false"/>
            </w:rPr>
            <w:t>10</w:t>
          </w:r>
        </w:p>
        <w:p>
          <w:pPr>
            <w:pStyle w:val="Style27"/>
            <w:shd w:val="clear" w:color="auto" w:fill="auto"/>
            <w:ind w:firstLine="460"/>
            <w:rPr>
              <w:color w:val="auto"/>
            </w:rPr>
          </w:pPr>
          <w:r>
            <w:rPr/>
            <w:t>ОТОПИТЕЛЬНЫХ ГАЗОВЫХ ПЕЧЕЙ И ПРИБОРОВ</w:t>
          </w:r>
        </w:p>
        <w:p>
          <w:pPr>
            <w:pStyle w:val="Style27"/>
            <w:numPr>
              <w:ilvl w:val="0"/>
              <w:numId w:val="1"/>
            </w:numPr>
            <w:shd w:val="clear" w:color="auto" w:fill="auto"/>
            <w:tabs>
              <w:tab w:val="clear" w:pos="708"/>
              <w:tab w:val="left" w:pos="557" w:leader="none"/>
              <w:tab w:val="left" w:pos="9155" w:leader="none"/>
            </w:tabs>
            <w:rPr>
              <w:color w:val="auto"/>
            </w:rPr>
          </w:pPr>
          <w:r>
            <w:rPr/>
            <w:t>АГИТАЦИОННЫЙ МАТЕРИАЛ ДЛЯ РАЗМЕЩЕНИЯ</w:t>
            <w:tab/>
          </w:r>
          <w:r>
            <w:rPr>
              <w:b w:val="false"/>
              <w:bCs w:val="false"/>
            </w:rPr>
            <w:t>12</w:t>
          </w:r>
        </w:p>
        <w:p>
          <w:pPr>
            <w:pStyle w:val="Style27"/>
            <w:shd w:val="clear" w:color="auto" w:fill="auto"/>
            <w:ind w:firstLine="880"/>
            <w:rPr>
              <w:color w:val="auto"/>
            </w:rPr>
          </w:pPr>
          <w:r>
            <w:rPr/>
            <w:t>В МЕСТАХ С МАССОВЫМ ПРЕБЫВАНИЕМ ЛЮДЕЙ</w:t>
          </w:r>
        </w:p>
        <w:p>
          <w:pPr>
            <w:pStyle w:val="Style27"/>
            <w:numPr>
              <w:ilvl w:val="0"/>
              <w:numId w:val="1"/>
            </w:numPr>
            <w:shd w:val="clear" w:color="auto" w:fill="auto"/>
            <w:tabs>
              <w:tab w:val="clear" w:pos="708"/>
              <w:tab w:val="left" w:pos="557" w:leader="none"/>
              <w:tab w:val="left" w:pos="9155" w:leader="none"/>
            </w:tabs>
            <w:rPr/>
          </w:pPr>
          <w:r>
            <w:rPr/>
            <w:t>ИСПОЛЬЗУЕМАЯ ЛИТЕРАТУРА</w:t>
            <w:tab/>
          </w:r>
          <w:r>
            <w:rPr>
              <w:b w:val="false"/>
              <w:bCs w:val="false"/>
            </w:rPr>
            <w:t>14</w:t>
          </w:r>
          <w:r>
            <w:rPr>
              <w:b w:val="false"/>
              <w:bCs w:val="false"/>
            </w:rPr>
            <w:fldChar w:fldCharType="end"/>
          </w:r>
        </w:p>
        <w:p>
          <w:pPr>
            <w:sectPr>
              <w:headerReference w:type="default" r:id="rId3"/>
              <w:headerReference w:type="first" r:id="rId4"/>
              <w:footerReference w:type="first" r:id="rId5"/>
              <w:type w:val="nextPage"/>
              <w:pgSz w:w="11906" w:h="16838"/>
              <w:pgMar w:left="942" w:right="648" w:header="0" w:top="1294" w:footer="0" w:bottom="0" w:gutter="0"/>
              <w:pgNumType w:start="1" w:fmt="decimal"/>
              <w:formProt w:val="false"/>
              <w:titlePg/>
              <w:textDirection w:val="lrTb"/>
              <w:docGrid w:type="default" w:linePitch="360" w:charSpace="0"/>
            </w:sectPr>
          </w:pPr>
        </w:p>
      </w:sdtContent>
    </w:sdt>
    <w:p>
      <w:pPr>
        <w:pStyle w:val="32"/>
        <w:keepNext w:val="true"/>
        <w:keepLines/>
        <w:shd w:fill="FFFFFF" w:val="clear"/>
        <w:spacing w:lineRule="auto" w:line="240" w:before="0" w:after="300"/>
        <w:rPr/>
      </w:pPr>
      <w:bookmarkStart w:id="0" w:name="bookmark0"/>
      <w:bookmarkStart w:id="1" w:name="bookmark1"/>
      <w:r>
        <w:rPr/>
        <w:t>ВВЕДЕНИЕ</w:t>
      </w:r>
      <w:bookmarkEnd w:id="0"/>
      <w:bookmarkEnd w:id="1"/>
    </w:p>
    <w:p>
      <w:pPr>
        <w:pStyle w:val="11"/>
        <w:shd w:val="clear" w:color="auto" w:fill="auto"/>
        <w:ind w:firstLine="740"/>
        <w:jc w:val="both"/>
        <w:rPr/>
      </w:pPr>
      <w:r>
        <w:rPr>
          <w:rFonts w:eastAsia="Times New Roman" w:cs="Times New Roman"/>
          <w:color w:val="auto"/>
          <w:sz w:val="26"/>
          <w:szCs w:val="26"/>
        </w:rPr>
        <w:t>О</w:t>
      </w:r>
      <w:r>
        <w:rPr>
          <w:color w:val="auto"/>
        </w:rPr>
        <w:t xml:space="preserve">сновными местами возникновения пожаров по причине неисправности печного оборудования по-прежнему остаются </w:t>
      </w:r>
      <w:r>
        <w:rPr>
          <w:rFonts w:eastAsia="Times New Roman" w:cs="Times New Roman"/>
          <w:color w:val="auto"/>
          <w:sz w:val="26"/>
          <w:szCs w:val="26"/>
        </w:rPr>
        <w:t>частные</w:t>
      </w:r>
      <w:r>
        <w:rPr>
          <w:color w:val="auto"/>
        </w:rPr>
        <w:t xml:space="preserve"> домовладения и надворные постройки граждан. </w:t>
      </w:r>
    </w:p>
    <w:p>
      <w:pPr>
        <w:pStyle w:val="11"/>
        <w:shd w:val="clear" w:color="auto" w:fill="auto"/>
        <w:ind w:firstLine="740"/>
        <w:jc w:val="both"/>
        <w:rPr/>
      </w:pPr>
      <w:r>
        <w:rPr/>
        <w:t xml:space="preserve"> </w:t>
      </w:r>
      <w:r>
        <w:rPr/>
        <w:t>Зачастую граждане, проявляя беспечность, получают отравление угарным газом при нарушении элементарных правил безопасности при эксплуатации печного отопления.</w:t>
      </w:r>
    </w:p>
    <w:p>
      <w:pPr>
        <w:pStyle w:val="11"/>
        <w:shd w:val="clear" w:color="auto" w:fill="auto"/>
        <w:ind w:firstLine="740"/>
        <w:jc w:val="both"/>
        <w:rPr/>
      </w:pPr>
      <w:r>
        <w:rPr/>
        <w:t>Для того чтобы опасность возникновения пожара по вине человека была минимальной, требуется постоянная, целенаправленная работа всех заинтересованных и компетентных специалистов.</w:t>
      </w:r>
    </w:p>
    <w:p>
      <w:pPr>
        <w:pStyle w:val="11"/>
        <w:shd w:val="clear" w:color="auto" w:fill="auto"/>
        <w:ind w:firstLine="740"/>
        <w:jc w:val="both"/>
        <w:rPr/>
      </w:pPr>
      <w:r>
        <w:rPr/>
        <w:t>В настоящее время для отопления жилья применяют различное топливо: твёрдое (дрова, уголь), жидкое (дизельное) и газ. Большинство малоэтажных жилых домов имеют печное отопление. По статистическим данным за последние 5 лет примерно каждый пятый пожар в жилом доме и надворных постройках происходит от неисправности печей и дымоходов, их неправильного устройства или эксплуатации.</w:t>
      </w:r>
    </w:p>
    <w:p>
      <w:pPr>
        <w:pStyle w:val="11"/>
        <w:shd w:val="clear" w:color="auto" w:fill="auto"/>
        <w:ind w:firstLine="740"/>
        <w:jc w:val="both"/>
        <w:rPr/>
      </w:pPr>
      <w:r>
        <w:rPr/>
        <w:t>Нарушение правил устройства и эксплуатации печного отопления является одной из основных причин пожаров. Жертвами по указанной причине могут стать как новички, так и люди с опытом использования печного отопления.</w:t>
      </w:r>
    </w:p>
    <w:p>
      <w:pPr>
        <w:sectPr>
          <w:headerReference w:type="default" r:id="rId6"/>
          <w:footerReference w:type="default" r:id="rId7"/>
          <w:type w:val="nextPage"/>
          <w:pgSz w:w="11906" w:h="16838"/>
          <w:pgMar w:left="1082" w:right="508" w:header="0" w:top="1114" w:footer="0" w:bottom="1114" w:gutter="0"/>
          <w:pgNumType w:fmt="decimal"/>
          <w:formProt w:val="false"/>
          <w:textDirection w:val="lrTb"/>
          <w:docGrid w:type="default" w:linePitch="360" w:charSpace="0"/>
        </w:sectPr>
        <w:pStyle w:val="11"/>
        <w:shd w:val="clear" w:color="auto" w:fill="auto"/>
        <w:ind w:firstLine="740"/>
        <w:jc w:val="both"/>
        <w:rPr/>
      </w:pPr>
      <w:r>
        <w:rPr/>
        <w:t>Необходимость подготовки данных методических рекомендаций обусловлена требованиями к качественному повышению уровня обеспечения безопасности населения и эффективности мероприятий по минимизации риска пожаров и чрезвычайных ситуаций, угроз жизни и здоровью людей.</w:t>
      </w:r>
    </w:p>
    <w:p>
      <w:pPr>
        <w:pStyle w:val="32"/>
        <w:keepNext w:val="true"/>
        <w:keepLines/>
        <w:numPr>
          <w:ilvl w:val="0"/>
          <w:numId w:val="2"/>
        </w:numPr>
        <w:shd w:val="clear" w:color="auto" w:fill="auto"/>
        <w:tabs>
          <w:tab w:val="clear" w:pos="708"/>
          <w:tab w:val="left" w:pos="411" w:leader="none"/>
        </w:tabs>
        <w:spacing w:before="0" w:after="280"/>
        <w:rPr/>
      </w:pPr>
      <w:bookmarkStart w:id="2" w:name="bookmark2"/>
      <w:bookmarkStart w:id="3" w:name="bookmark3"/>
      <w:r>
        <w:rPr/>
        <w:t>ОБЩИЕ ПОЛОЖЕНИЯ.</w:t>
      </w:r>
      <w:bookmarkEnd w:id="2"/>
      <w:bookmarkEnd w:id="3"/>
    </w:p>
    <w:p>
      <w:pPr>
        <w:pStyle w:val="11"/>
        <w:shd w:val="clear" w:color="auto" w:fill="auto"/>
        <w:ind w:firstLine="720"/>
        <w:jc w:val="both"/>
        <w:rPr/>
      </w:pPr>
      <w:r>
        <w:rPr>
          <w:b/>
          <w:bCs/>
        </w:rPr>
        <w:t xml:space="preserve">Печь </w:t>
      </w:r>
      <w:r>
        <w:rPr/>
        <w:t>- устройство для сжигания твёрдого топлива в целях отопления помещения и приготовления пищи, изготовленное на месте установки из теплостойких материалов (кирпич, жаропрочный бетон и т. д.) или на заводах (из чугуна или стали).</w:t>
      </w:r>
    </w:p>
    <w:p>
      <w:pPr>
        <w:pStyle w:val="11"/>
        <w:shd w:val="clear" w:color="auto" w:fill="auto"/>
        <w:ind w:firstLine="720"/>
        <w:jc w:val="both"/>
        <w:rPr/>
      </w:pPr>
      <w:r>
        <w:rPr>
          <w:b/>
          <w:bCs/>
        </w:rPr>
        <w:t xml:space="preserve">Камин </w:t>
      </w:r>
      <w:r>
        <w:rPr/>
        <w:t>- разновидность печного устройства, отличающегося большим (по сравнению с печами) размером топочного отверстия (для открытых топок), отсутствием дымооборотов и наличием дымовой камеры. Отопление камином основано на тепловом излучении горящего твёрдого топлива и от разогретых стен топочного пространства, а также на конвективной теплоотдаче поверхностей камина в обогреваемое помещение. Существуют два типа каминов: сооружаемые на месте установки и сборные. Сборные камины собираются из компонентов заводского изготовления.</w:t>
      </w:r>
    </w:p>
    <w:p>
      <w:pPr>
        <w:pStyle w:val="11"/>
        <w:shd w:val="clear" w:color="auto" w:fill="auto"/>
        <w:ind w:firstLine="720"/>
        <w:jc w:val="both"/>
        <w:rPr/>
      </w:pPr>
      <w:r>
        <w:rPr>
          <w:b/>
          <w:bCs/>
        </w:rPr>
        <w:t xml:space="preserve">Дымовой канал </w:t>
      </w:r>
      <w:r>
        <w:rPr/>
        <w:t>- канал для отвода дыма от печей или каминов и создания тяги.</w:t>
      </w:r>
    </w:p>
    <w:p>
      <w:pPr>
        <w:pStyle w:val="11"/>
        <w:shd w:val="clear" w:color="auto" w:fill="auto"/>
        <w:ind w:firstLine="720"/>
        <w:jc w:val="both"/>
        <w:rPr/>
      </w:pPr>
      <w:r>
        <w:rPr>
          <w:b/>
          <w:bCs/>
        </w:rPr>
        <w:t xml:space="preserve">Отступка </w:t>
      </w:r>
      <w:r>
        <w:rPr/>
        <w:t>- расстояние от наружной поверхности печи (камина) или дымового канала (трубы) до защищённой или не защищённой от возгорания стены или перегородки из горючих материалов.</w:t>
      </w:r>
    </w:p>
    <w:p>
      <w:pPr>
        <w:pStyle w:val="11"/>
        <w:shd w:val="clear" w:color="auto" w:fill="auto"/>
        <w:ind w:firstLine="720"/>
        <w:jc w:val="both"/>
        <w:rPr/>
      </w:pPr>
      <w:r>
        <w:rPr>
          <w:b/>
          <w:bCs/>
        </w:rPr>
        <w:t xml:space="preserve">Разделка </w:t>
      </w:r>
      <w:r>
        <w:rPr/>
        <w:t>- утолщение стенки печи (камина) или дымового канала (трубы) в месте соприкосновения не с конструкцией здания, выполненной из горючего материала.</w:t>
      </w:r>
    </w:p>
    <w:p>
      <w:pPr>
        <w:pStyle w:val="11"/>
        <w:shd w:val="clear" w:color="auto" w:fill="auto"/>
        <w:ind w:firstLine="720"/>
        <w:jc w:val="both"/>
        <w:rPr/>
      </w:pPr>
      <w:r>
        <w:rPr>
          <w:b/>
          <w:bCs/>
        </w:rPr>
        <w:t xml:space="preserve">Топливник (топка) </w:t>
      </w:r>
      <w:r>
        <w:rPr/>
        <w:t>- часть печи или камина, пространство для сжигания топлива.</w:t>
      </w:r>
    </w:p>
    <w:p>
      <w:pPr>
        <w:pStyle w:val="11"/>
        <w:shd w:val="clear" w:color="auto" w:fill="auto"/>
        <w:ind w:firstLine="720"/>
        <w:jc w:val="both"/>
        <w:rPr/>
      </w:pPr>
      <w:r>
        <w:rPr>
          <w:b/>
          <w:bCs/>
        </w:rPr>
        <w:t xml:space="preserve">Предтопочный лист - </w:t>
      </w:r>
      <w:r>
        <w:rPr/>
        <w:t>фрагмент металла, который изготавливается на станке путём штампа с формированием специального профиля. Предназначен для защиты от попадания искры или раскалённого угля на пол при открывании дверцы топки.</w:t>
      </w:r>
    </w:p>
    <w:p>
      <w:pPr>
        <w:pStyle w:val="11"/>
        <w:shd w:val="clear" w:color="auto" w:fill="auto"/>
        <w:ind w:firstLine="720"/>
        <w:jc w:val="both"/>
        <w:rPr/>
      </w:pPr>
      <w:r>
        <w:rPr>
          <w:b/>
          <w:bCs/>
        </w:rPr>
        <w:t xml:space="preserve">Перекрыша печи - </w:t>
      </w:r>
      <w:r>
        <w:rPr/>
        <w:t>это верхнее перекрытие отопительной печи, устраиваемое в 3 ряда кирпича плашмя в печи умеренного прогрева или из иных строительных материалов в печи повышенного прогрева.</w:t>
      </w:r>
    </w:p>
    <w:p>
      <w:pPr>
        <w:pStyle w:val="11"/>
        <w:shd w:val="clear" w:color="auto" w:fill="auto"/>
        <w:ind w:firstLine="720"/>
        <w:jc w:val="both"/>
        <w:rPr/>
      </w:pPr>
      <w:r>
        <w:rPr>
          <w:b/>
          <w:bCs/>
        </w:rPr>
        <w:t xml:space="preserve">Насадной дымовой канал </w:t>
      </w:r>
      <w:r>
        <w:rPr/>
        <w:t>- дымовой канал, опирающийся на потолочное перекрытие.</w:t>
      </w:r>
    </w:p>
    <w:p>
      <w:pPr>
        <w:pStyle w:val="11"/>
        <w:shd w:val="clear" w:color="auto" w:fill="auto"/>
        <w:ind w:firstLine="720"/>
        <w:jc w:val="both"/>
        <w:rPr/>
      </w:pPr>
      <w:r>
        <w:rPr>
          <w:b/>
          <w:bCs/>
        </w:rPr>
        <w:t>Коренной дымовой кан</w:t>
      </w:r>
      <w:r>
        <w:rPr/>
        <w:t>ал - дымовой канал, опирающийся на фундамент здания или на пол рядом с печью (камином).</w:t>
      </w:r>
    </w:p>
    <w:p>
      <w:pPr>
        <w:sectPr>
          <w:headerReference w:type="default" r:id="rId8"/>
          <w:footerReference w:type="default" r:id="rId9"/>
          <w:type w:val="nextPage"/>
          <w:pgSz w:w="11906" w:h="16838"/>
          <w:pgMar w:left="1082" w:right="512" w:header="0" w:top="1407" w:footer="0" w:bottom="1407" w:gutter="0"/>
          <w:pgNumType w:fmt="decimal"/>
          <w:formProt w:val="false"/>
          <w:textDirection w:val="lrTb"/>
          <w:docGrid w:type="default" w:linePitch="360" w:charSpace="0"/>
        </w:sectPr>
        <w:pStyle w:val="11"/>
        <w:shd w:val="clear" w:color="auto" w:fill="auto"/>
        <w:ind w:firstLine="720"/>
        <w:jc w:val="both"/>
        <w:rPr/>
      </w:pPr>
      <w:r>
        <w:rPr>
          <w:b/>
          <w:bCs/>
        </w:rPr>
        <w:t xml:space="preserve">Стенный дымовой канал </w:t>
      </w:r>
      <w:r>
        <w:rPr/>
        <w:t>- дымовой канал, проходящий внутри стены здания.</w:t>
      </w:r>
    </w:p>
    <w:p>
      <w:pPr>
        <w:pStyle w:val="32"/>
        <w:keepNext w:val="true"/>
        <w:keepLines/>
        <w:numPr>
          <w:ilvl w:val="0"/>
          <w:numId w:val="2"/>
        </w:numPr>
        <w:shd w:val="clear" w:color="auto" w:fill="auto"/>
        <w:tabs>
          <w:tab w:val="clear" w:pos="708"/>
          <w:tab w:val="left" w:pos="351" w:leader="none"/>
        </w:tabs>
        <w:spacing w:lineRule="auto" w:line="240" w:before="0" w:after="420"/>
        <w:rPr/>
      </w:pPr>
      <w:bookmarkStart w:id="4" w:name="bookmark4"/>
      <w:bookmarkStart w:id="5" w:name="bookmark5"/>
      <w:r>
        <w:rPr/>
        <w:t>ПОЖАРНАЯ ОПАСНОСТЬ ПЕЧНОГО ОТОПЛЕНИЯ</w:t>
      </w:r>
      <w:bookmarkEnd w:id="4"/>
      <w:bookmarkEnd w:id="5"/>
    </w:p>
    <w:p>
      <w:pPr>
        <w:pStyle w:val="11"/>
        <w:shd w:val="clear" w:color="auto" w:fill="auto"/>
        <w:ind w:firstLine="720"/>
        <w:jc w:val="both"/>
        <w:rPr/>
      </w:pPr>
      <w:r>
        <w:rPr/>
        <w:t>Пожарная опасность печного отопления заключается в высоких температурах на поверхностях элементов печей (стенок, патрубков, труб), которые могут быть причиной возгорания горючих материалов и сгораемых конструкций зданий. Температура на поверхности элементов нетеплоёмких печей зависит от вида сжигаемого топлива, режима топки печей и может превышать 600 °С.</w:t>
      </w:r>
    </w:p>
    <w:p>
      <w:pPr>
        <w:pStyle w:val="11"/>
        <w:shd w:val="clear" w:color="auto" w:fill="auto"/>
        <w:ind w:firstLine="720"/>
        <w:jc w:val="both"/>
        <w:rPr/>
      </w:pPr>
      <w:r>
        <w:rPr/>
        <w:t>Температура в топливнике теплоёмких печей может составлять более 1000 °С, а в дымовом канале в области междуэтажного перекрытия - 500°С. Степень нагрева боковых поверхностей и перекрытия печи, а также дымовых каналов зависит от толщины стенок, вида и количества сжигаемого топлива и продолжительности горения.</w:t>
      </w:r>
    </w:p>
    <w:p>
      <w:pPr>
        <w:pStyle w:val="11"/>
        <w:shd w:val="clear" w:color="auto" w:fill="auto"/>
        <w:ind w:firstLine="720"/>
        <w:jc w:val="both"/>
        <w:rPr/>
      </w:pPr>
      <w:r>
        <w:rPr/>
        <w:t>Нагретые до высоких температур элементы печей могут быть источником зажигания материалов, находящихся в помещении, и строительных сгораемых конструкций (стен, перегородок, перекрытий, кровли), если они примыкают к поверхностям печей или дымовых каналов.</w:t>
      </w:r>
    </w:p>
    <w:p>
      <w:pPr>
        <w:pStyle w:val="11"/>
        <w:shd w:val="clear" w:color="auto" w:fill="auto"/>
        <w:ind w:firstLine="720"/>
        <w:jc w:val="both"/>
        <w:rPr/>
      </w:pPr>
      <w:r>
        <w:rPr/>
        <w:t>Пожар может также возникнуть в результате воздействия пламени, топочных газов и искр на сгораемые материалы и конструкции через трещины и неплотности в кладке печей и дымовых каналов и топочные отверстия. Возможными причинами образования трещин являются неправильный выбор материала для кладки печей и каналов, неравномерность осадки здания и печей после окончания строительства, некачественная кладка.</w:t>
      </w:r>
    </w:p>
    <w:p>
      <w:pPr>
        <w:pStyle w:val="11"/>
        <w:shd w:val="clear" w:color="auto" w:fill="auto"/>
        <w:ind w:firstLine="720"/>
        <w:jc w:val="both"/>
        <w:rPr/>
      </w:pPr>
      <w:r>
        <w:rPr/>
        <w:t>Причинами пожаров от печного отопления могут быть отсутствие или недостаточный размер разделок, отступок, расстояний между нагретыми поверхностями элементов печи и сгораемыми (трудносгораемыми) конструкциями здания, эксплуатация неисправных печей, дымовых каналов, разделок.</w:t>
      </w:r>
    </w:p>
    <w:p>
      <w:pPr>
        <w:sectPr>
          <w:headerReference w:type="default" r:id="rId10"/>
          <w:footerReference w:type="default" r:id="rId11"/>
          <w:type w:val="nextPage"/>
          <w:pgSz w:w="11906" w:h="16838"/>
          <w:pgMar w:left="1082" w:right="508" w:header="0" w:top="1114" w:footer="0" w:bottom="1114" w:gutter="0"/>
          <w:pgNumType w:fmt="decimal"/>
          <w:formProt w:val="false"/>
          <w:textDirection w:val="lrTb"/>
          <w:docGrid w:type="default" w:linePitch="360" w:charSpace="0"/>
        </w:sectPr>
        <w:pStyle w:val="11"/>
        <w:shd w:val="clear" w:color="auto" w:fill="auto"/>
        <w:ind w:firstLine="720"/>
        <w:jc w:val="both"/>
        <w:rPr/>
      </w:pPr>
      <w:r>
        <w:rPr/>
        <w:t>Пожарную опасность представляют также отопительные печи, если они подобраны без учёта теплопотерь помещений, в которых они установлены. Теплоотдача устанавливаемой печи при нормальном режиме эксплуатации должна быть равна теплопотерям обслуживаемых помещений, если средняя теплоотдача печи будет меньше потерь теплоты, то в обслуживаемых помещениях температура воздуха будет ниже требуемой. В этом случае увеличение теплоотдачи печи может быть достигнуто нарушением режима топки печи, что приведёт к повышению температуры теплоотдающих поверхностей.</w:t>
      </w:r>
    </w:p>
    <w:p>
      <w:pPr>
        <w:pStyle w:val="32"/>
        <w:keepNext w:val="true"/>
        <w:keepLines/>
        <w:numPr>
          <w:ilvl w:val="0"/>
          <w:numId w:val="2"/>
        </w:numPr>
        <w:shd w:val="clear" w:color="auto" w:fill="auto"/>
        <w:tabs>
          <w:tab w:val="clear" w:pos="708"/>
          <w:tab w:val="left" w:pos="334" w:leader="none"/>
        </w:tabs>
        <w:spacing w:before="0" w:after="360"/>
        <w:rPr/>
      </w:pPr>
      <w:bookmarkStart w:id="6" w:name="bookmark6"/>
      <w:bookmarkStart w:id="7" w:name="bookmark7"/>
      <w:r>
        <w:rPr/>
        <w:t>ТРЕБОВАНИЯ ПОЖАРНОЙ БЕЗОПАСНОСТИ К ПЕЧНОМУ</w:t>
        <w:br/>
        <w:t>ОТОПЛЕНИЮ</w:t>
      </w:r>
      <w:bookmarkEnd w:id="6"/>
      <w:bookmarkEnd w:id="7"/>
    </w:p>
    <w:p>
      <w:pPr>
        <w:pStyle w:val="11"/>
        <w:shd w:val="clear" w:color="auto" w:fill="auto"/>
        <w:ind w:firstLine="740"/>
        <w:jc w:val="both"/>
        <w:rPr/>
      </w:pPr>
      <w:r>
        <w:rPr/>
        <w:t>В домах, имеющих печное отопление, обеспечить выполнение требований пожарной безопасности как при устройстве печей, так и при их эксплуатации.</w:t>
      </w:r>
    </w:p>
    <w:p>
      <w:pPr>
        <w:pStyle w:val="11"/>
        <w:shd w:val="clear" w:color="auto" w:fill="auto"/>
        <w:ind w:firstLine="740"/>
        <w:jc w:val="both"/>
        <w:rPr/>
      </w:pPr>
      <w:r>
        <w:rPr/>
        <w:t>Пожары чаще всего происходят из-за перекала печей, при появлении в кирпичной кладке трещин в результате применения для растопки горючих и легковоспламеняющихся жидкостей, выпадения из топки или зольника горящих углей.</w:t>
      </w:r>
    </w:p>
    <w:p>
      <w:pPr>
        <w:pStyle w:val="11"/>
        <w:shd w:val="clear" w:color="auto" w:fill="auto"/>
        <w:ind w:firstLine="740"/>
        <w:jc w:val="both"/>
        <w:rPr/>
      </w:pPr>
      <w:r>
        <w:rPr/>
        <w:t>Причиной появления трещин и перекала стенок дымовых труб может быть горение сажи, скапливающейся в дымоходах. Строительные нормы и правила требуют, чтобы устройство любой печи соответствовало противопожарным требованиям.</w:t>
      </w:r>
    </w:p>
    <w:p>
      <w:pPr>
        <w:pStyle w:val="11"/>
        <w:shd w:val="clear" w:color="auto" w:fill="auto"/>
        <w:ind w:firstLine="740"/>
        <w:jc w:val="both"/>
        <w:rPr/>
      </w:pPr>
      <w:r>
        <w:rPr/>
        <w:t>Правила эксплуатации печей весьма просты. Следует подчеркнуть, что наиболее часто пожары происходят, когда печи оставляют без наблюдения во время топки.</w:t>
      </w:r>
    </w:p>
    <w:p>
      <w:pPr>
        <w:pStyle w:val="11"/>
        <w:shd w:val="clear" w:color="auto" w:fill="auto"/>
        <w:ind w:firstLine="740"/>
        <w:jc w:val="both"/>
        <w:rPr/>
      </w:pPr>
      <w:r>
        <w:rPr/>
        <w:t>В сильные морозы печи нередко топят длительное время, в результате чего происходит перекал отдельных частей печей. Если эти части окажутся в контакте с деревянными конструкциями здания, то пожар неизбежен. Поэтому рекомендуется топить печь два-три раза в день не более 1,5 часов.</w:t>
      </w:r>
    </w:p>
    <w:p>
      <w:pPr>
        <w:pStyle w:val="11"/>
        <w:shd w:val="clear" w:color="auto" w:fill="auto"/>
        <w:ind w:firstLine="740"/>
        <w:jc w:val="both"/>
        <w:rPr/>
      </w:pPr>
      <w:r>
        <w:rPr/>
        <w:t>В жилых домах, банях перед началом отопительного сезона необходимо проверить исправность печей, дымоходов. Почистить дымоход от продуктов горения (сажи), заделать трещины глиняно-песчаным раствором, побелить дымовые трубы на чердаке. Во время отопительного сезона необходимо не реже одного раза в три месяца производить чистку дымовых каналов. Золу, выгребаемую из печей необходимо выноситься в безопасное место на улицу и проливать водой.</w:t>
      </w:r>
    </w:p>
    <w:p>
      <w:pPr>
        <w:pStyle w:val="11"/>
        <w:shd w:val="clear" w:color="auto" w:fill="auto"/>
        <w:spacing w:before="0" w:after="280"/>
        <w:ind w:firstLine="740"/>
        <w:jc w:val="both"/>
        <w:rPr/>
      </w:pPr>
      <w:r>
        <w:rPr/>
        <w:t>В таблице 1 предусмотрены мероприятия по проверке элементов отопительной печи.</w:t>
      </w:r>
    </w:p>
    <w:p>
      <w:pPr>
        <w:pStyle w:val="Style29"/>
        <w:shd w:val="clear" w:color="auto" w:fill="auto"/>
        <w:ind w:left="4075" w:hanging="0"/>
        <w:rPr/>
      </w:pPr>
      <w:r>
        <w:rPr/>
        <w:t>Таблица 1. Элементы печи, подлежащие проверке.</w:t>
      </w:r>
    </w:p>
    <w:tbl>
      <w:tblPr>
        <w:tblW w:w="10214" w:type="dxa"/>
        <w:jc w:val="center"/>
        <w:tblInd w:w="0" w:type="dxa"/>
        <w:tblCellMar>
          <w:top w:w="0" w:type="dxa"/>
          <w:left w:w="10" w:type="dxa"/>
          <w:bottom w:w="0" w:type="dxa"/>
          <w:right w:w="10" w:type="dxa"/>
        </w:tblCellMar>
        <w:tblLook w:val="0000" w:noVBand="0" w:noHBand="0" w:lastColumn="0" w:firstColumn="0" w:lastRow="0" w:firstRow="0"/>
      </w:tblPr>
      <w:tblGrid>
        <w:gridCol w:w="3686"/>
        <w:gridCol w:w="6527"/>
      </w:tblGrid>
      <w:tr>
        <w:trPr>
          <w:trHeight w:val="283" w:hRule="exac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0"/>
              <w:shd w:val="clear" w:color="auto" w:fill="auto"/>
              <w:spacing w:lineRule="auto" w:line="240"/>
              <w:rPr/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Элемент отопительной печи</w:t>
            </w:r>
          </w:p>
        </w:tc>
        <w:tc>
          <w:tcPr>
            <w:tcW w:w="65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0"/>
              <w:shd w:val="clear" w:color="auto" w:fill="auto"/>
              <w:spacing w:lineRule="auto" w:line="240"/>
              <w:ind w:hanging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Что нужно проверить</w:t>
            </w:r>
          </w:p>
        </w:tc>
      </w:tr>
      <w:tr>
        <w:trPr>
          <w:trHeight w:val="509" w:hRule="exac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Style30"/>
              <w:shd w:val="clear" w:color="auto" w:fill="auto"/>
              <w:spacing w:lineRule="auto" w:line="240"/>
              <w:ind w:hanging="0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Основание печи</w:t>
            </w:r>
          </w:p>
        </w:tc>
        <w:tc>
          <w:tcPr>
            <w:tcW w:w="65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0"/>
              <w:shd w:val="clear" w:color="auto" w:fill="auto"/>
              <w:ind w:hanging="0"/>
              <w:jc w:val="both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Наличие и соответствие толщины теплоизоляции из негорючих материалов</w:t>
            </w:r>
          </w:p>
        </w:tc>
      </w:tr>
      <w:tr>
        <w:trPr>
          <w:trHeight w:val="518" w:hRule="exac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0"/>
              <w:shd w:val="clear" w:color="auto" w:fill="auto"/>
              <w:spacing w:lineRule="auto" w:line="264"/>
              <w:ind w:hanging="0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Поверхности зольника и газооборотов</w:t>
            </w:r>
          </w:p>
        </w:tc>
        <w:tc>
          <w:tcPr>
            <w:tcW w:w="65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0"/>
              <w:shd w:val="clear" w:color="auto" w:fill="auto"/>
              <w:spacing w:lineRule="auto" w:line="264"/>
              <w:ind w:hanging="0"/>
              <w:jc w:val="both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Минимальные расстояние от уровня пола из горючих (трудногорючих) материалов до дна зольника и газооборотов</w:t>
            </w:r>
          </w:p>
        </w:tc>
      </w:tr>
      <w:tr>
        <w:trPr>
          <w:trHeight w:val="1272" w:hRule="exac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0"/>
              <w:shd w:val="clear" w:color="auto" w:fill="auto"/>
              <w:spacing w:lineRule="auto" w:line="240"/>
              <w:ind w:hanging="0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Топочная дверца</w:t>
            </w:r>
          </w:p>
        </w:tc>
        <w:tc>
          <w:tcPr>
            <w:tcW w:w="65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0"/>
              <w:shd w:val="clear" w:color="auto" w:fill="auto"/>
              <w:spacing w:lineRule="auto" w:line="264"/>
              <w:ind w:hanging="0"/>
              <w:jc w:val="both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Наличие металлического листа под топочной дверкой</w:t>
            </w:r>
          </w:p>
          <w:p>
            <w:pPr>
              <w:pStyle w:val="Style30"/>
              <w:shd w:val="clear" w:color="auto" w:fill="auto"/>
              <w:spacing w:lineRule="auto" w:line="264"/>
              <w:ind w:hanging="0"/>
              <w:jc w:val="both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Расстояние от топочной дверки до противоположной стены из горючих материалов</w:t>
            </w:r>
          </w:p>
          <w:p>
            <w:pPr>
              <w:pStyle w:val="Style30"/>
              <w:shd w:val="clear" w:color="auto" w:fill="auto"/>
              <w:spacing w:lineRule="auto" w:line="264"/>
              <w:ind w:hanging="0"/>
              <w:jc w:val="both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Наличие изоляции стен из горючих материалов или перегородок, примыкающих под углом к фронту печи</w:t>
            </w:r>
          </w:p>
        </w:tc>
      </w:tr>
      <w:tr>
        <w:trPr>
          <w:trHeight w:val="768" w:hRule="exac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Style30"/>
              <w:shd w:val="clear" w:color="auto" w:fill="auto"/>
              <w:spacing w:lineRule="auto" w:line="240"/>
              <w:ind w:hanging="0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Перекидной патрубок</w:t>
            </w:r>
          </w:p>
        </w:tc>
        <w:tc>
          <w:tcPr>
            <w:tcW w:w="65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0"/>
              <w:shd w:val="clear" w:color="auto" w:fill="auto"/>
              <w:spacing w:lineRule="auto" w:line="264"/>
              <w:ind w:hanging="0"/>
              <w:jc w:val="both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Расстояние от верха патрубка до потолка из горючих материалов Расстояние от низа патрубка до пола из горючих (трудногорючих) материалов</w:t>
            </w:r>
          </w:p>
        </w:tc>
      </w:tr>
      <w:tr>
        <w:trPr>
          <w:trHeight w:val="1286" w:hRule="exac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Style30"/>
              <w:shd w:val="clear" w:color="auto" w:fill="auto"/>
              <w:spacing w:lineRule="auto" w:line="240"/>
              <w:ind w:hanging="0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Боковые поверхности печи</w:t>
            </w:r>
          </w:p>
        </w:tc>
        <w:tc>
          <w:tcPr>
            <w:tcW w:w="6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0"/>
              <w:shd w:val="clear" w:color="auto" w:fill="auto"/>
              <w:spacing w:lineRule="auto" w:line="264"/>
              <w:ind w:hanging="0"/>
              <w:jc w:val="both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Наличие разделок из негорючих материалов в местах примыкания к боковым поверхностям печи конструкций из сгораемых (трудногорючих) материалов</w:t>
            </w:r>
          </w:p>
          <w:p>
            <w:pPr>
              <w:pStyle w:val="Style30"/>
              <w:shd w:val="clear" w:color="auto" w:fill="auto"/>
              <w:spacing w:lineRule="auto" w:line="264"/>
              <w:ind w:hanging="0"/>
              <w:jc w:val="both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Расстояние (размер) разделки от внутренней поверхности печи до конструкций здания (стен, перегородок)</w:t>
            </w:r>
          </w:p>
        </w:tc>
      </w:tr>
    </w:tbl>
    <w:p>
      <w:pPr>
        <w:pStyle w:val="Normal"/>
        <w:spacing w:lineRule="exact" w:line="1"/>
        <w:rPr/>
      </w:pPr>
      <w:r>
        <w:rPr/>
      </w:r>
    </w:p>
    <w:tbl>
      <w:tblPr>
        <w:tblW w:w="10214" w:type="dxa"/>
        <w:jc w:val="center"/>
        <w:tblInd w:w="0" w:type="dxa"/>
        <w:tblCellMar>
          <w:top w:w="0" w:type="dxa"/>
          <w:left w:w="10" w:type="dxa"/>
          <w:bottom w:w="0" w:type="dxa"/>
          <w:right w:w="10" w:type="dxa"/>
        </w:tblCellMar>
        <w:tblLook w:val="0000" w:noVBand="0" w:noHBand="0" w:lastColumn="0" w:firstColumn="0" w:lastRow="0" w:firstRow="0"/>
      </w:tblPr>
      <w:tblGrid>
        <w:gridCol w:w="3686"/>
        <w:gridCol w:w="6527"/>
      </w:tblGrid>
      <w:tr>
        <w:trPr>
          <w:trHeight w:val="773" w:hRule="exac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65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0"/>
              <w:shd w:val="clear" w:color="auto" w:fill="auto"/>
              <w:spacing w:lineRule="auto" w:line="264"/>
              <w:ind w:hanging="0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Ширина отступки между поверхностями печи и стенами (перегородками) и толщина теплоизоляции для защиты конструкций от возгорания</w:t>
            </w:r>
          </w:p>
        </w:tc>
      </w:tr>
      <w:tr>
        <w:trPr>
          <w:trHeight w:val="514" w:hRule="exac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Style30"/>
              <w:shd w:val="clear" w:color="auto" w:fill="auto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Верхняя плоскость печи</w:t>
            </w:r>
          </w:p>
        </w:tc>
        <w:tc>
          <w:tcPr>
            <w:tcW w:w="65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0"/>
              <w:shd w:val="clear" w:color="auto" w:fill="auto"/>
              <w:spacing w:lineRule="auto" w:line="264"/>
              <w:ind w:hanging="0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Расстояние от перекрытия печи до потолка из горючего (трудногорючего) материала</w:t>
            </w:r>
          </w:p>
        </w:tc>
      </w:tr>
      <w:tr>
        <w:trPr>
          <w:trHeight w:val="3307" w:hRule="exact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Style30"/>
              <w:shd w:val="clear" w:color="auto" w:fill="auto"/>
              <w:spacing w:lineRule="auto" w:line="240"/>
              <w:ind w:hanging="0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Дымовые каналы и трубы</w:t>
            </w:r>
          </w:p>
        </w:tc>
        <w:tc>
          <w:tcPr>
            <w:tcW w:w="6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bottom"/>
          </w:tcPr>
          <w:p>
            <w:pPr>
              <w:pStyle w:val="Style30"/>
              <w:shd w:val="clear" w:color="auto" w:fill="auto"/>
              <w:spacing w:lineRule="auto" w:line="264"/>
              <w:ind w:hanging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Наличие разделок из негорючих материалов в местах примыкания стен, перегородок. Перекрытия. Балок к дымовым каналам (трубам)</w:t>
            </w:r>
          </w:p>
          <w:p>
            <w:pPr>
              <w:pStyle w:val="Style30"/>
              <w:shd w:val="clear" w:color="auto" w:fill="auto"/>
              <w:spacing w:lineRule="auto" w:line="264"/>
              <w:ind w:hanging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Расстояние от внутренней поверхности дымовых труб до конструкций здания из горючих (трудногорючих) материалов (размер разделки)</w:t>
            </w:r>
          </w:p>
          <w:p>
            <w:pPr>
              <w:pStyle w:val="Style30"/>
              <w:shd w:val="clear" w:color="auto" w:fill="auto"/>
              <w:spacing w:lineRule="auto" w:line="264"/>
              <w:ind w:hanging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Высота разделок в чердачном перекрытии</w:t>
            </w:r>
          </w:p>
          <w:p>
            <w:pPr>
              <w:pStyle w:val="Style30"/>
              <w:shd w:val="clear" w:color="auto" w:fill="auto"/>
              <w:spacing w:lineRule="auto" w:line="264"/>
              <w:ind w:hanging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Толщина вертикальной разделки при примыкании дымовой трубы к стенам или перегородкам в пределах помещения.</w:t>
            </w:r>
          </w:p>
          <w:p>
            <w:pPr>
              <w:pStyle w:val="Style30"/>
              <w:shd w:val="clear" w:color="auto" w:fill="auto"/>
              <w:spacing w:lineRule="auto" w:line="264"/>
              <w:ind w:hanging="0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Ширина отступки между дымовой трубой и стенкой или перегородкой и способ защиты конструкций от возгорания Расстояние от поверхности дымовых труб и стен с дымовыми каналами до конструкций кровли</w:t>
            </w:r>
          </w:p>
        </w:tc>
      </w:tr>
    </w:tbl>
    <w:p>
      <w:pPr>
        <w:pStyle w:val="Normal"/>
        <w:spacing w:lineRule="exact" w:line="1" w:before="0" w:after="339"/>
        <w:rPr/>
      </w:pPr>
      <w:r>
        <w:rPr/>
      </w:r>
    </w:p>
    <w:p>
      <w:pPr>
        <w:pStyle w:val="11"/>
        <w:shd w:val="clear" w:color="auto" w:fill="auto"/>
        <w:ind w:firstLine="740"/>
        <w:jc w:val="both"/>
        <w:rPr/>
      </w:pPr>
      <w:r>
        <w:rPr/>
        <w:t>Нагретые поверхности печей и дымовых каналов, а также пламя через топочное отверстие излучают лучистую энергию, которая может вызвать загорание вблизи расположенных конструкций. Отсюда возникает основное общее правило: печи располагают так, чтобы между деревянными элементами здания и нагревающимися частями печи было достаточно места для устройства противопожарных разделок. Выполнение противопожарных мероприятий при сооружении печей гарантирует их безопасность при эксплуатации. В местах, где деревянные части зданий подходят к дымовым каналам в печах, трубах и стенках, необходимо оставлять отступки или разделки, заполненные воздухом или кирпичом.</w:t>
      </w:r>
    </w:p>
    <w:p>
      <w:pPr>
        <w:pStyle w:val="11"/>
        <w:shd w:val="clear" w:color="auto" w:fill="auto"/>
        <w:ind w:firstLine="740"/>
        <w:jc w:val="both"/>
        <w:rPr/>
      </w:pPr>
      <w:r>
        <w:rPr/>
        <w:t>Отступки у печей со стенами толщиной 70 мм и менее следует оставлять открытыми со всех сторон. Отступки у печей со стенками толщиной 120 мм можно выполнить из кирпича или других несгораемых материалов, оставляя сверху и снизу отверстия, закрываемые решётками. Отступки между печью или дымовой трубой и стеной или перегородкой из горючих материалов следует предусматривать на всю высоту печи или дымового канала.</w:t>
      </w:r>
    </w:p>
    <w:p>
      <w:pPr>
        <w:pStyle w:val="11"/>
        <w:shd w:val="clear" w:color="auto" w:fill="auto"/>
        <w:ind w:firstLine="740"/>
        <w:jc w:val="both"/>
        <w:rPr/>
      </w:pPr>
      <w:r>
        <w:rPr/>
        <w:t>Расстояние от перекрытия печи до потолка, защищённого от возгорания, должно быть не менее 250 мм для печей с периодической топкой и 700 мм для печей длительного горения. При наличии потолка, не защищённого от возгорания, расстояние должно быть соответственно не менее 350 и 1000 мм.</w:t>
      </w:r>
    </w:p>
    <w:p>
      <w:pPr>
        <w:pStyle w:val="11"/>
        <w:shd w:val="clear" w:color="auto" w:fill="auto"/>
        <w:ind w:firstLine="740"/>
        <w:jc w:val="both"/>
        <w:rPr/>
      </w:pPr>
      <w:r>
        <w:rPr/>
        <w:t>Разделки должны выполняться из негорючих материалов, размер разделок печей и дымовых каналов следует принимать 510 мм до конструкций, выполненных из горючих материалов, и 380 мм до конструкций из горючих материалов, имеющих теплоизоляцию, которая обеспечивает предел огнестойкости конструкции 0,75 ч и более.</w:t>
      </w:r>
    </w:p>
    <w:p>
      <w:pPr>
        <w:pStyle w:val="11"/>
        <w:shd w:val="clear" w:color="auto" w:fill="auto"/>
        <w:ind w:firstLine="740"/>
        <w:jc w:val="both"/>
        <w:rPr/>
      </w:pPr>
      <w:r>
        <w:rPr/>
        <w:t>У печи должны быть: исправная дверца, заслонки соответствующих размеров и предтопочный металлический лист, прибитый к деревянному полу, размером 50х70 см без дефектов и прогаров. Дрова, уголь и щепу для растопки нельзя складывать вблизи печи (то же касается мусора, старых газет и пр.).</w:t>
      </w:r>
    </w:p>
    <w:p>
      <w:pPr>
        <w:pStyle w:val="11"/>
        <w:shd w:val="clear" w:color="auto" w:fill="auto"/>
        <w:ind w:firstLine="740"/>
        <w:jc w:val="both"/>
        <w:rPr/>
      </w:pPr>
      <w:r>
        <w:rPr/>
        <w:t>Кладка печей и дымовых каналов должна выполняться из сплошного глиняного кирпича или индустриальных блоков из жаростойкого бетона. Для отвода продуктов сгорания каждая печь должна иметь обособленный дымовой канал. Допускается присоединение к одному каналу двух печей, если они находятся на одном этаже и в одной квартире жилого дома при условии устройства рассечки толщиной 0,12 м и высотой не менее 1 м от нижнего соединения труб.</w:t>
      </w:r>
    </w:p>
    <w:p>
      <w:pPr>
        <w:pStyle w:val="11"/>
        <w:shd w:val="clear" w:color="auto" w:fill="auto"/>
        <w:ind w:firstLine="740"/>
        <w:jc w:val="both"/>
        <w:rPr/>
      </w:pPr>
      <w:r>
        <w:rPr/>
        <w:t>Для присоединения печей к дымовым трубам допускается предусматривать дымоотводы длиной не более 0,4 м при условии:</w:t>
      </w:r>
    </w:p>
    <w:p>
      <w:pPr>
        <w:pStyle w:val="11"/>
        <w:shd w:val="clear" w:color="auto" w:fill="auto"/>
        <w:tabs>
          <w:tab w:val="clear" w:pos="708"/>
          <w:tab w:val="left" w:pos="1044" w:leader="none"/>
        </w:tabs>
        <w:ind w:firstLine="740"/>
        <w:jc w:val="both"/>
        <w:rPr/>
      </w:pPr>
      <w:r>
        <w:rPr/>
        <w:t>а)</w:t>
        <w:tab/>
        <w:t>расстояние от верха дымоотвода до потолка из горючих материалов должно быть не менее 0,5 м при отсутствии защиты потолка от возгорания и не менее 0,4 м - при наличии защиты;</w:t>
      </w:r>
    </w:p>
    <w:p>
      <w:pPr>
        <w:pStyle w:val="11"/>
        <w:shd w:val="clear" w:color="auto" w:fill="auto"/>
        <w:tabs>
          <w:tab w:val="clear" w:pos="708"/>
          <w:tab w:val="left" w:pos="1053" w:leader="none"/>
        </w:tabs>
        <w:ind w:firstLine="740"/>
        <w:jc w:val="both"/>
        <w:rPr/>
      </w:pPr>
      <w:r>
        <w:rPr/>
        <w:t>б)</w:t>
        <w:tab/>
        <w:t>расстояние от низа дымоотвода до пола из горючих материалов должно быть не менее 0,14 м. Дымоотводы следует выполнять из негорючих материалов.</w:t>
      </w:r>
    </w:p>
    <w:p>
      <w:pPr>
        <w:pStyle w:val="11"/>
        <w:shd w:val="clear" w:color="auto" w:fill="auto"/>
        <w:ind w:firstLine="740"/>
        <w:jc w:val="both"/>
        <w:rPr/>
      </w:pPr>
      <w:r>
        <w:rPr/>
        <w:t>На Рисунке 1 схематично приведены требуемые расстояния.</w:t>
      </w:r>
    </w:p>
    <w:p>
      <w:pPr>
        <w:pStyle w:val="11"/>
        <w:shd w:val="clear" w:color="auto" w:fill="auto"/>
        <w:ind w:hanging="0"/>
        <w:jc w:val="righ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55245</wp:posOffset>
            </wp:positionH>
            <wp:positionV relativeFrom="paragraph">
              <wp:posOffset>121920</wp:posOffset>
            </wp:positionV>
            <wp:extent cx="6508115" cy="4911090"/>
            <wp:effectExtent l="0" t="0" r="0" b="0"/>
            <wp:wrapSquare wrapText="largest"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15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1"/>
        <w:rPr/>
      </w:pPr>
      <w:r>
        <w:rPr/>
      </w:r>
    </w:p>
    <w:p>
      <w:pPr>
        <w:pStyle w:val="11"/>
        <w:shd w:val="clear" w:color="auto" w:fill="auto"/>
        <w:spacing w:before="0" w:after="960"/>
        <w:ind w:firstLine="740"/>
        <w:jc w:val="both"/>
        <w:rPr/>
      </w:pPr>
      <w:r>
        <w:rPr/>
        <w:t xml:space="preserve">Кроме того, в разделе III Правил противопожарного режима в Российской Федерации, утверждённого постановлением Правительства Российской Федерации от 16 сентября 2020 г. № 1479 (далее - ППР в РФ) изложены основные требования пожарной безопасности при эксплуатации печного отопления. </w:t>
      </w:r>
    </w:p>
    <w:p>
      <w:pPr>
        <w:pStyle w:val="32"/>
        <w:keepNext w:val="true"/>
        <w:keepLines/>
        <w:numPr>
          <w:ilvl w:val="0"/>
          <w:numId w:val="2"/>
        </w:numPr>
        <w:shd w:val="clear" w:color="auto" w:fill="auto"/>
        <w:tabs>
          <w:tab w:val="clear" w:pos="708"/>
          <w:tab w:val="left" w:pos="381" w:leader="none"/>
        </w:tabs>
        <w:spacing w:lineRule="auto" w:line="307" w:before="0" w:after="380"/>
        <w:rPr/>
      </w:pPr>
      <w:bookmarkStart w:id="8" w:name="bookmark8"/>
      <w:bookmarkStart w:id="9" w:name="bookmark9"/>
      <w:r>
        <w:rPr/>
        <w:t>ХАРАКТЕРИСТИКА И ПОЖАРНАЯ ОПАСНОСТЬ</w:t>
        <w:br/>
        <w:t>ОТОПИТЕЛЬНЫХ ГАЗОВЫХ ПЕЧЕЙ И ПРИБОРОВ</w:t>
      </w:r>
      <w:bookmarkEnd w:id="8"/>
      <w:bookmarkEnd w:id="9"/>
    </w:p>
    <w:p>
      <w:pPr>
        <w:pStyle w:val="11"/>
        <w:shd w:val="clear" w:color="auto" w:fill="auto"/>
        <w:spacing w:before="0" w:after="280"/>
        <w:ind w:firstLine="720"/>
        <w:jc w:val="both"/>
        <w:rPr/>
      </w:pPr>
      <w:r>
        <w:rPr/>
        <w:t>Владельцы домовладений и квартиросъёмщики должны своевременно заключать договоры на техническое обслуживание газового оборудования и проверку дымоходов, вентиляционных каналов, кроме того, в зимнее время должны периодически проверять оголовки с целью недопущения их обмерзания и закупорки.</w:t>
      </w:r>
    </w:p>
    <w:p>
      <w:pPr>
        <w:pStyle w:val="11"/>
        <w:shd w:val="clear" w:color="auto" w:fill="auto"/>
        <w:spacing w:before="0" w:after="280"/>
        <w:ind w:firstLine="720"/>
        <w:jc w:val="both"/>
        <w:rPr/>
      </w:pPr>
      <w:r>
        <w:rPr/>
        <w:t>ЗАПРЕЩАЕТСЯ:</w:t>
      </w:r>
    </w:p>
    <w:p>
      <w:pPr>
        <w:pStyle w:val="11"/>
        <w:numPr>
          <w:ilvl w:val="0"/>
          <w:numId w:val="3"/>
        </w:numPr>
        <w:shd w:val="clear" w:color="auto" w:fill="auto"/>
        <w:tabs>
          <w:tab w:val="clear" w:pos="708"/>
          <w:tab w:val="left" w:pos="1091" w:leader="none"/>
        </w:tabs>
        <w:ind w:firstLine="720"/>
        <w:jc w:val="both"/>
        <w:rPr/>
      </w:pPr>
      <w:r>
        <w:rPr/>
        <w:t>Производить самовольную газификацию дома (квартиры), перестановку, замену и ремонт газовых приборов, баллонов и запорной арматуры.</w:t>
      </w:r>
    </w:p>
    <w:p>
      <w:pPr>
        <w:pStyle w:val="11"/>
        <w:numPr>
          <w:ilvl w:val="0"/>
          <w:numId w:val="3"/>
        </w:numPr>
        <w:shd w:val="clear" w:color="auto" w:fill="auto"/>
        <w:tabs>
          <w:tab w:val="clear" w:pos="708"/>
          <w:tab w:val="left" w:pos="1091" w:leader="none"/>
        </w:tabs>
        <w:ind w:firstLine="720"/>
        <w:jc w:val="both"/>
        <w:rPr/>
      </w:pPr>
      <w:r>
        <w:rPr/>
        <w:t>Осуществлять перепланировку помещения, где установлены газовые приборы, без согласования с соответствующими организациями.</w:t>
      </w:r>
    </w:p>
    <w:p>
      <w:pPr>
        <w:pStyle w:val="11"/>
        <w:numPr>
          <w:ilvl w:val="0"/>
          <w:numId w:val="3"/>
        </w:numPr>
        <w:shd w:val="clear" w:color="auto" w:fill="auto"/>
        <w:tabs>
          <w:tab w:val="clear" w:pos="708"/>
          <w:tab w:val="left" w:pos="1091" w:leader="none"/>
        </w:tabs>
        <w:ind w:firstLine="720"/>
        <w:jc w:val="both"/>
        <w:rPr/>
      </w:pPr>
      <w:r>
        <w:rPr/>
        <w:t>Вносить изменения в конструкцию газовых приборов. Изменять устройство дымовых и вентиляционных систем, заклеивать вентиляционные каналы, замуровывать или заклеивать «карманы» и люки, предназначенные для чистки дымоходов.</w:t>
      </w:r>
    </w:p>
    <w:p>
      <w:pPr>
        <w:pStyle w:val="11"/>
        <w:numPr>
          <w:ilvl w:val="0"/>
          <w:numId w:val="3"/>
        </w:numPr>
        <w:shd w:val="clear" w:color="auto" w:fill="auto"/>
        <w:tabs>
          <w:tab w:val="clear" w:pos="708"/>
          <w:tab w:val="left" w:pos="1091" w:leader="none"/>
        </w:tabs>
        <w:ind w:firstLine="720"/>
        <w:jc w:val="both"/>
        <w:rPr/>
      </w:pPr>
      <w:r>
        <w:rPr/>
        <w:t>Отключать автоматику безопасности и регулирования, пользоваться газом при неисправных газовых приборах, автоматику, арматуре и газовых баллонах, особенно при обнаружении утечки газа.</w:t>
      </w:r>
    </w:p>
    <w:p>
      <w:pPr>
        <w:pStyle w:val="11"/>
        <w:numPr>
          <w:ilvl w:val="0"/>
          <w:numId w:val="3"/>
        </w:numPr>
        <w:shd w:val="clear" w:color="auto" w:fill="auto"/>
        <w:tabs>
          <w:tab w:val="clear" w:pos="708"/>
          <w:tab w:val="left" w:pos="1091" w:leader="none"/>
        </w:tabs>
        <w:ind w:firstLine="720"/>
        <w:jc w:val="both"/>
        <w:rPr/>
      </w:pPr>
      <w:r>
        <w:rPr/>
        <w:t>Пользоваться газом при нарушении плотности кладки, штукатурки (трещины) газифицированных печей и дымоходов. Пользоваться отопительными печами с духовыми шкафами и открытыми конфорками для приготовления пищи. Самовольно устанавливать дополнительные шиберы в дымоходах и на дымоотводящих трубах от водонагревателей.</w:t>
      </w:r>
    </w:p>
    <w:p>
      <w:pPr>
        <w:pStyle w:val="11"/>
        <w:numPr>
          <w:ilvl w:val="0"/>
          <w:numId w:val="3"/>
        </w:numPr>
        <w:shd w:val="clear" w:color="auto" w:fill="auto"/>
        <w:tabs>
          <w:tab w:val="clear" w:pos="708"/>
          <w:tab w:val="left" w:pos="1091" w:leader="none"/>
        </w:tabs>
        <w:spacing w:lineRule="auto" w:line="240"/>
        <w:ind w:firstLine="720"/>
        <w:jc w:val="both"/>
        <w:rPr/>
      </w:pPr>
      <w:r>
        <w:rPr/>
        <w:t>Пользоваться газом после истечения срока действия акта о проверке и чистке дымовых и вентиляционных каналов.</w:t>
      </w:r>
    </w:p>
    <w:p>
      <w:pPr>
        <w:pStyle w:val="11"/>
        <w:numPr>
          <w:ilvl w:val="0"/>
          <w:numId w:val="3"/>
        </w:numPr>
        <w:shd w:val="clear" w:color="auto" w:fill="auto"/>
        <w:tabs>
          <w:tab w:val="clear" w:pos="708"/>
          <w:tab w:val="left" w:pos="1091" w:leader="none"/>
        </w:tabs>
        <w:spacing w:lineRule="auto" w:line="240"/>
        <w:ind w:firstLine="720"/>
        <w:jc w:val="both"/>
        <w:rPr/>
      </w:pPr>
      <w:r>
        <w:rPr/>
        <w:t>Пользоваться газовыми приборами при закрытых форточках (фрамугах), жалюзийных решётках, решётках вентиляционных каналов, при отсутствии тяги в дымоходах и вентиляционных каналах.</w:t>
      </w:r>
    </w:p>
    <w:p>
      <w:pPr>
        <w:pStyle w:val="11"/>
        <w:numPr>
          <w:ilvl w:val="0"/>
          <w:numId w:val="3"/>
        </w:numPr>
        <w:shd w:val="clear" w:color="auto" w:fill="auto"/>
        <w:tabs>
          <w:tab w:val="clear" w:pos="708"/>
          <w:tab w:val="left" w:pos="1091" w:leader="none"/>
        </w:tabs>
        <w:spacing w:lineRule="auto" w:line="240"/>
        <w:ind w:firstLine="720"/>
        <w:jc w:val="both"/>
        <w:rPr/>
      </w:pPr>
      <w:r>
        <w:rPr/>
        <w:t>Оставлять работающие газовые приборы без присмотра, кроме рассчитанных на непрерывную работу и имеющих для этого соответствующую автоматику.</w:t>
      </w:r>
    </w:p>
    <w:p>
      <w:pPr>
        <w:pStyle w:val="11"/>
        <w:numPr>
          <w:ilvl w:val="0"/>
          <w:numId w:val="3"/>
        </w:numPr>
        <w:shd w:val="clear" w:color="auto" w:fill="auto"/>
        <w:tabs>
          <w:tab w:val="clear" w:pos="708"/>
          <w:tab w:val="left" w:pos="1091" w:leader="none"/>
        </w:tabs>
        <w:spacing w:lineRule="auto" w:line="240"/>
        <w:ind w:firstLine="720"/>
        <w:jc w:val="both"/>
        <w:rPr/>
      </w:pPr>
      <w:r>
        <w:rPr/>
        <w:t>Допускать к пользованию газовыми приборами детей и лиц, не контролирующих свои действия и не знающих правил пользования этими приборами.</w:t>
      </w:r>
    </w:p>
    <w:p>
      <w:pPr>
        <w:pStyle w:val="11"/>
        <w:numPr>
          <w:ilvl w:val="0"/>
          <w:numId w:val="3"/>
        </w:numPr>
        <w:shd w:val="clear" w:color="auto" w:fill="auto"/>
        <w:tabs>
          <w:tab w:val="clear" w:pos="708"/>
          <w:tab w:val="left" w:pos="1242" w:leader="none"/>
        </w:tabs>
        <w:spacing w:lineRule="auto" w:line="240"/>
        <w:ind w:firstLine="720"/>
        <w:jc w:val="both"/>
        <w:rPr/>
      </w:pPr>
      <w:r>
        <w:rPr/>
        <w:t>Использовать газ и газовые приборы не по назначению. Пользоваться газовыми плитами для отопления помещений.</w:t>
      </w:r>
    </w:p>
    <w:p>
      <w:pPr>
        <w:pStyle w:val="11"/>
        <w:numPr>
          <w:ilvl w:val="0"/>
          <w:numId w:val="3"/>
        </w:numPr>
        <w:shd w:val="clear" w:color="auto" w:fill="auto"/>
        <w:tabs>
          <w:tab w:val="clear" w:pos="708"/>
          <w:tab w:val="left" w:pos="1242" w:leader="none"/>
        </w:tabs>
        <w:ind w:firstLine="720"/>
        <w:jc w:val="both"/>
        <w:rPr/>
      </w:pPr>
      <w:r>
        <w:rPr/>
        <w:t>Пользоваться помещениями, где установлены газовые приборы, для сна и отдыха.</w:t>
      </w:r>
    </w:p>
    <w:p>
      <w:pPr>
        <w:pStyle w:val="11"/>
        <w:numPr>
          <w:ilvl w:val="0"/>
          <w:numId w:val="3"/>
        </w:numPr>
        <w:shd w:val="clear" w:color="auto" w:fill="auto"/>
        <w:tabs>
          <w:tab w:val="clear" w:pos="708"/>
          <w:tab w:val="left" w:pos="1242" w:leader="none"/>
        </w:tabs>
        <w:ind w:firstLine="720"/>
        <w:jc w:val="both"/>
        <w:rPr/>
      </w:pPr>
      <w:r>
        <w:rPr/>
        <w:t>Применять открытый огонь для обнаружения утечек газа (используется мыльная эмульсия или специальные приборы).</w:t>
      </w:r>
    </w:p>
    <w:p>
      <w:pPr>
        <w:pStyle w:val="11"/>
        <w:numPr>
          <w:ilvl w:val="0"/>
          <w:numId w:val="3"/>
        </w:numPr>
        <w:shd w:val="clear" w:color="auto" w:fill="auto"/>
        <w:tabs>
          <w:tab w:val="clear" w:pos="708"/>
          <w:tab w:val="left" w:pos="1242" w:leader="none"/>
        </w:tabs>
        <w:ind w:firstLine="720"/>
        <w:jc w:val="both"/>
        <w:rPr/>
      </w:pPr>
      <w:r>
        <w:rPr/>
        <w:t>Хранить в помещениях и подвалах порожние и заполненные сжиженными газами баллоны. Самовольно без специального инструктажа производить замену порожних баллонов на заполненные газом и подключать их.</w:t>
      </w:r>
    </w:p>
    <w:p>
      <w:pPr>
        <w:pStyle w:val="11"/>
        <w:numPr>
          <w:ilvl w:val="0"/>
          <w:numId w:val="3"/>
        </w:numPr>
        <w:shd w:val="clear" w:color="auto" w:fill="auto"/>
        <w:tabs>
          <w:tab w:val="clear" w:pos="708"/>
          <w:tab w:val="left" w:pos="1242" w:leader="none"/>
        </w:tabs>
        <w:ind w:firstLine="720"/>
        <w:jc w:val="both"/>
        <w:rPr/>
      </w:pPr>
      <w:r>
        <w:rPr/>
        <w:t>Располагать баллоны против топочных дверок печей на расстоянии менее 2м от них.</w:t>
      </w:r>
    </w:p>
    <w:p>
      <w:pPr>
        <w:pStyle w:val="11"/>
        <w:shd w:val="clear" w:color="auto" w:fill="auto"/>
        <w:ind w:firstLine="720"/>
        <w:jc w:val="both"/>
        <w:rPr/>
      </w:pPr>
      <w:r>
        <w:rPr/>
        <w:t>По окончании пользования газом закрыть краны на газовых приборах и перед ними, а при размещении баллонов внутри кухонь дополнительно закрыть вентили у баллонов.</w:t>
      </w:r>
    </w:p>
    <w:p>
      <w:pPr>
        <w:pStyle w:val="11"/>
        <w:shd w:val="clear" w:color="auto" w:fill="auto"/>
        <w:ind w:firstLine="720"/>
        <w:jc w:val="both"/>
        <w:rPr/>
      </w:pPr>
      <w:r>
        <w:rPr/>
        <w:t>При внезапном прекращении подачи газа закрыть немедленно краны горелок газовых приборов и сообщить газовой службе по телефону 04 или 104.</w:t>
      </w:r>
    </w:p>
    <w:p>
      <w:pPr>
        <w:pStyle w:val="11"/>
        <w:shd w:val="clear" w:color="auto" w:fill="auto"/>
        <w:ind w:firstLine="720"/>
        <w:jc w:val="both"/>
        <w:rPr/>
      </w:pPr>
      <w:r>
        <w:rPr/>
        <w:t>При появлении в помещении квартиры запаха газа немедленно прекратить пользование газовыми приборами, перекрыть краны к приборам и на приборах, открыть окна или форточки для проветривания помещения, вызвать аварийную службу по телефону 04 или 104 (вне загазованного помещения). Не пользоваться открытым источником огня, не курить, не пользоваться выключателями электроосвещения и электроприборами, не пользоваться электрозвонками.</w:t>
      </w:r>
    </w:p>
    <w:p>
      <w:pPr>
        <w:pStyle w:val="11"/>
        <w:shd w:val="clear" w:color="auto" w:fill="auto"/>
        <w:ind w:firstLine="72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11"/>
        <w:shd w:val="clear" w:color="auto" w:fill="auto"/>
        <w:ind w:firstLine="720"/>
        <w:jc w:val="center"/>
        <w:rPr>
          <w:b/>
          <w:b/>
          <w:bCs/>
        </w:rPr>
      </w:pPr>
      <w:r>
        <w:rPr>
          <w:b/>
          <w:bCs/>
        </w:rPr>
        <w:t xml:space="preserve">5. </w:t>
      </w:r>
      <w:bookmarkStart w:id="10" w:name="bookmark12"/>
      <w:bookmarkStart w:id="11" w:name="bookmark13"/>
      <w:r>
        <w:rPr>
          <w:b/>
          <w:bCs/>
        </w:rPr>
        <w:t>АГИТАЦИОННЫЙ МАТЕРИАЛ ДЛЯ РАЗМЕЩЕНИЯ В МЕСТАХ С МАССОВЫМ ПРЕБЫВАНИЕМ ЛЮДЕЙ</w:t>
      </w:r>
      <w:bookmarkEnd w:id="10"/>
      <w:bookmarkEnd w:id="11"/>
    </w:p>
    <w:p>
      <w:pPr>
        <w:pStyle w:val="11"/>
        <w:shd w:val="clear" w:color="auto" w:fill="auto"/>
        <w:ind w:firstLine="720"/>
        <w:jc w:val="both"/>
        <w:rPr/>
      </w:pPr>
      <w:r>
        <w:rPr/>
        <w:t>Задача распространения агитационного материала - ещё раз напомнить гражданам о необходимости соблюдения мер пожарной безопасности в быту, на производстве, во время отдыха на природе и в местах с массовым пребыванием людей. В них отражены простые и действенные рекомендации по профилактике пожаров и действиям в случае возникновения пожара.</w:t>
      </w:r>
    </w:p>
    <w:p>
      <w:pPr>
        <w:sectPr>
          <w:headerReference w:type="default" r:id="rId14"/>
          <w:footerReference w:type="default" r:id="rId15"/>
          <w:type w:val="nextPage"/>
          <w:pgSz w:w="11906" w:h="16838"/>
          <w:pgMar w:left="1080" w:right="514" w:header="0" w:top="1094" w:footer="0" w:bottom="1207" w:gutter="0"/>
          <w:pgNumType w:fmt="decimal"/>
          <w:formProt w:val="false"/>
          <w:textDirection w:val="lrTb"/>
          <w:docGrid w:type="default" w:linePitch="360" w:charSpace="0"/>
        </w:sectPr>
        <w:pStyle w:val="11"/>
        <w:shd w:val="clear" w:color="auto" w:fill="auto"/>
        <w:spacing w:before="0" w:after="300"/>
        <w:ind w:firstLine="720"/>
        <w:jc w:val="both"/>
        <w:rPr/>
      </w:pPr>
      <w:r>
        <w:rPr/>
        <w:t xml:space="preserve">Агитационные стенды с плакатами и листовками целесообразно размещать не только внутри зданий жилого сектора, в том числе жилых домах, а также во дворах, на детских спортивных площадках, около жилых домов, чтобы жители имели возможность </w:t>
      </w: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-103505</wp:posOffset>
            </wp:positionH>
            <wp:positionV relativeFrom="paragraph">
              <wp:posOffset>877570</wp:posOffset>
            </wp:positionV>
            <wp:extent cx="6548120" cy="4582795"/>
            <wp:effectExtent l="0" t="0" r="0" b="0"/>
            <wp:wrapSquare wrapText="largest"/>
            <wp:docPr id="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20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</w:t>
      </w:r>
      <w:r>
        <w:rPr/>
        <w:t>знакомиться с информацией в своё свободное время, не торопясь. Памятка 1.</w:t>
      </w:r>
    </w:p>
    <w:p>
      <w:pPr>
        <w:pStyle w:val="32"/>
        <w:shd w:val="clear" w:color="auto" w:fill="auto"/>
        <w:spacing w:lineRule="auto" w:line="307" w:before="0" w:after="240"/>
        <w:rPr/>
      </w:pPr>
      <w:bookmarkStart w:id="12" w:name="bookmark16"/>
      <w:bookmarkStart w:id="13" w:name="bookmark17"/>
      <w:r>
        <w:rPr/>
        <w:t>СПИСОК ЛИТЕРАТУРЫ</w:t>
      </w:r>
      <w:bookmarkEnd w:id="12"/>
      <w:bookmarkEnd w:id="13"/>
    </w:p>
    <w:p>
      <w:pPr>
        <w:pStyle w:val="11"/>
        <w:numPr>
          <w:ilvl w:val="0"/>
          <w:numId w:val="4"/>
        </w:numPr>
        <w:shd w:val="clear" w:color="auto" w:fill="auto"/>
        <w:tabs>
          <w:tab w:val="clear" w:pos="708"/>
          <w:tab w:val="left" w:pos="1126" w:leader="none"/>
        </w:tabs>
        <w:spacing w:lineRule="auto" w:line="307"/>
        <w:ind w:firstLine="740"/>
        <w:jc w:val="both"/>
        <w:rPr/>
      </w:pPr>
      <w:r>
        <w:rPr/>
        <w:t>Федеральный закон от 21 декабря 1994 г. № 69-ФЗ «О пожарной безопасности»;</w:t>
      </w:r>
    </w:p>
    <w:p>
      <w:pPr>
        <w:pStyle w:val="11"/>
        <w:numPr>
          <w:ilvl w:val="0"/>
          <w:numId w:val="4"/>
        </w:numPr>
        <w:shd w:val="clear" w:color="auto" w:fill="auto"/>
        <w:tabs>
          <w:tab w:val="clear" w:pos="708"/>
          <w:tab w:val="left" w:pos="1126" w:leader="none"/>
        </w:tabs>
        <w:spacing w:lineRule="auto" w:line="307"/>
        <w:ind w:firstLine="740"/>
        <w:jc w:val="both"/>
        <w:rPr/>
      </w:pPr>
      <w:r>
        <w:rPr/>
        <w:t>Федеральный закон от 22 июля 2008 года № 123-ФЗ «Технический регламент о требованиях пожарной безопасности»;</w:t>
      </w:r>
    </w:p>
    <w:p>
      <w:pPr>
        <w:pStyle w:val="11"/>
        <w:numPr>
          <w:ilvl w:val="0"/>
          <w:numId w:val="4"/>
        </w:numPr>
        <w:shd w:val="clear" w:color="auto" w:fill="auto"/>
        <w:tabs>
          <w:tab w:val="clear" w:pos="708"/>
          <w:tab w:val="left" w:pos="1126" w:leader="none"/>
        </w:tabs>
        <w:spacing w:lineRule="auto" w:line="307"/>
        <w:ind w:firstLine="740"/>
        <w:jc w:val="both"/>
        <w:rPr/>
      </w:pPr>
      <w:r>
        <w:rPr/>
        <w:t>Постановление Правительства РФ от 16 сентября 2020 г. № 1479 «О противопожарном режиме»;</w:t>
      </w:r>
    </w:p>
    <w:p>
      <w:pPr>
        <w:pStyle w:val="11"/>
        <w:numPr>
          <w:ilvl w:val="0"/>
          <w:numId w:val="4"/>
        </w:numPr>
        <w:shd w:val="clear" w:color="auto" w:fill="auto"/>
        <w:tabs>
          <w:tab w:val="clear" w:pos="708"/>
          <w:tab w:val="left" w:pos="1126" w:leader="none"/>
        </w:tabs>
        <w:spacing w:lineRule="auto" w:line="307"/>
        <w:ind w:firstLine="740"/>
        <w:jc w:val="both"/>
        <w:rPr/>
      </w:pPr>
      <w:r>
        <w:rPr/>
        <w:t>Приказ МЧС России от 21.02.2013 № 116 "Об утверждении свода правил СП 7.13130 "Отопление, вентиляция и кондиционирование. Требования пожарной безопасности";</w:t>
      </w:r>
    </w:p>
    <w:p>
      <w:pPr>
        <w:pStyle w:val="11"/>
        <w:shd w:val="clear" w:color="auto" w:fill="auto"/>
        <w:tabs>
          <w:tab w:val="clear" w:pos="708"/>
          <w:tab w:val="left" w:pos="1126" w:leader="none"/>
        </w:tabs>
        <w:spacing w:lineRule="auto" w:line="307"/>
        <w:ind w:hanging="0"/>
        <w:jc w:val="both"/>
        <w:rPr/>
      </w:pPr>
      <w:r>
        <w:rPr/>
      </w:r>
    </w:p>
    <w:sectPr>
      <w:headerReference w:type="default" r:id="rId16"/>
      <w:footerReference w:type="default" r:id="rId17"/>
      <w:type w:val="nextPage"/>
      <w:pgSz w:w="11906" w:h="16838"/>
      <w:pgMar w:left="1082" w:right="512" w:header="0" w:top="1455" w:footer="0" w:bottom="1455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 Unicode MS">
    <w:charset w:val="01"/>
    <w:family w:val="roman"/>
    <w:pitch w:val="default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PT Astra Serif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4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1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1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1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1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2">
              <wp:simplePos x="0" y="0"/>
              <wp:positionH relativeFrom="page">
                <wp:posOffset>3872230</wp:posOffset>
              </wp:positionH>
              <wp:positionV relativeFrom="page">
                <wp:posOffset>439420</wp:posOffset>
              </wp:positionV>
              <wp:extent cx="180340" cy="218440"/>
              <wp:effectExtent l="0" t="0" r="0" b="0"/>
              <wp:wrapNone/>
              <wp:docPr id="2" name="Shape 4_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640" cy="21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23"/>
                            <w:shd w:val="clear" w:color="auto" w:fill="auto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color w:val="000000"/>
                              <w:sz w:val="30"/>
                              <w:szCs w:val="30"/>
                            </w:rPr>
                          </w:r>
                        </w:p>
                      </w:txbxContent>
                    </wps:txbx>
                    <wps:bodyPr lIns="0" rIns="0" t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Shape 4_2" stroked="f" style="position:absolute;margin-left:304.9pt;margin-top:34.6pt;width:14.1pt;height:17.1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23"/>
                      <w:shd w:val="clear" w:color="auto" w:fill="auto"/>
                      <w:rPr>
                        <w:sz w:val="30"/>
                        <w:szCs w:val="30"/>
                      </w:rPr>
                    </w:pPr>
                    <w:r>
                      <w:rPr>
                        <w:color w:val="000000"/>
                        <w:sz w:val="30"/>
                        <w:szCs w:val="30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1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1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3">
              <wp:simplePos x="0" y="0"/>
              <wp:positionH relativeFrom="page">
                <wp:posOffset>3872230</wp:posOffset>
              </wp:positionH>
              <wp:positionV relativeFrom="page">
                <wp:posOffset>439420</wp:posOffset>
              </wp:positionV>
              <wp:extent cx="180340" cy="218440"/>
              <wp:effectExtent l="0" t="0" r="0" b="0"/>
              <wp:wrapNone/>
              <wp:docPr id="6" name="Shape 4_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640" cy="21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23"/>
                            <w:shd w:val="clear" w:color="auto" w:fill="auto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color w:val="000000"/>
                              <w:sz w:val="30"/>
                              <w:szCs w:val="30"/>
                            </w:rPr>
                          </w:r>
                        </w:p>
                      </w:txbxContent>
                    </wps:txbx>
                    <wps:bodyPr lIns="0" rIns="0" t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Shape 4_5" stroked="f" style="position:absolute;margin-left:304.9pt;margin-top:34.6pt;width:14.1pt;height:17.1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23"/>
                      <w:shd w:val="clear" w:color="auto" w:fill="auto"/>
                      <w:rPr>
                        <w:sz w:val="30"/>
                        <w:szCs w:val="30"/>
                      </w:rPr>
                    </w:pPr>
                    <w:r>
                      <w:rPr>
                        <w:color w:val="000000"/>
                        <w:sz w:val="30"/>
                        <w:szCs w:val="30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6"/>
        <w:spacing w:val="0"/>
        <w:i w:val="false"/>
        <w:u w:val="none"/>
        <w:b/>
        <w:szCs w:val="26"/>
        <w:iCs w:val="false"/>
        <w:bCs/>
        <w:w w:val="100"/>
        <w:rFonts w:eastAsia="Times New Roman" w:cs="Times New Roman"/>
        <w:color w:val="000000"/>
        <w:lang w:val="ru-RU" w:eastAsia="ru-RU" w:bidi="ru-RU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6"/>
        <w:spacing w:val="0"/>
        <w:i w:val="false"/>
        <w:u w:val="none"/>
        <w:b/>
        <w:szCs w:val="26"/>
        <w:iCs w:val="false"/>
        <w:bCs/>
        <w:w w:val="100"/>
        <w:rFonts w:eastAsia="Times New Roman" w:cs="Times New Roman"/>
        <w:color w:val="000000"/>
        <w:lang w:val="ru-RU" w:eastAsia="ru-RU" w:bidi="ru-RU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6"/>
        <w:spacing w:val="0"/>
        <w:i w:val="false"/>
        <w:u w:val="none"/>
        <w:b w:val="false"/>
        <w:szCs w:val="26"/>
        <w:iCs w:val="false"/>
        <w:bCs w:val="false"/>
        <w:w w:val="100"/>
        <w:rFonts w:eastAsia="Times New Roman" w:cs="Times New Roman"/>
        <w:color w:val="000000"/>
        <w:lang w:val="ru-RU" w:eastAsia="ru-RU" w:bidi="ru-RU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6"/>
        <w:spacing w:val="0"/>
        <w:i w:val="false"/>
        <w:u w:val="none"/>
        <w:b w:val="false"/>
        <w:szCs w:val="26"/>
        <w:iCs w:val="false"/>
        <w:bCs w:val="false"/>
        <w:w w:val="100"/>
        <w:rFonts w:eastAsia="Times New Roman" w:cs="Times New Roman"/>
        <w:color w:val="000000"/>
        <w:lang w:val="ru-RU" w:eastAsia="ru-RU" w:bidi="ru-RU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compat>
    <w:doNotExpandShiftReturn/>
  </w:compat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 Unicode MS" w:hAnsi="Arial Unicode MS" w:eastAsia="Arial Unicode MS" w:cs="Arial Unicode MS"/>
        <w:szCs w:val="24"/>
        <w:lang w:val="ru-RU" w:eastAsia="ru-RU" w:bidi="ru-RU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Arial Unicode MS" w:hAnsi="Arial Unicode MS" w:eastAsia="Arial Unicode MS" w:cs="Arial Unicode MS"/>
      <w:color w:val="000000"/>
      <w:kern w:val="0"/>
      <w:sz w:val="24"/>
      <w:szCs w:val="24"/>
      <w:lang w:val="ru-RU" w:eastAsia="ru-RU" w:bidi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Основной текст_"/>
    <w:basedOn w:val="DefaultParagraphFont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z w:val="26"/>
      <w:szCs w:val="26"/>
      <w:u w:val="none"/>
    </w:rPr>
  </w:style>
  <w:style w:type="character" w:styleId="2" w:customStyle="1">
    <w:name w:val="Колонтитул (2)_"/>
    <w:basedOn w:val="DefaultParagraphFont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z w:val="20"/>
      <w:szCs w:val="20"/>
      <w:u w:val="none"/>
    </w:rPr>
  </w:style>
  <w:style w:type="character" w:styleId="Style15" w:customStyle="1">
    <w:name w:val="Оглавление_"/>
    <w:basedOn w:val="DefaultParagraphFont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sz w:val="26"/>
      <w:szCs w:val="26"/>
      <w:u w:val="none"/>
    </w:rPr>
  </w:style>
  <w:style w:type="character" w:styleId="3" w:customStyle="1">
    <w:name w:val="Заголовок №3_"/>
    <w:basedOn w:val="DefaultParagraphFont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sz w:val="26"/>
      <w:szCs w:val="26"/>
      <w:u w:val="none"/>
    </w:rPr>
  </w:style>
  <w:style w:type="character" w:styleId="Style16" w:customStyle="1">
    <w:name w:val="Подпись к картинке_"/>
    <w:basedOn w:val="DefaultParagraphFont"/>
    <w:qFormat/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sz w:val="11"/>
      <w:szCs w:val="11"/>
      <w:u w:val="none"/>
    </w:rPr>
  </w:style>
  <w:style w:type="character" w:styleId="21" w:customStyle="1">
    <w:name w:val="Основной текст (2)_"/>
    <w:basedOn w:val="DefaultParagraphFont"/>
    <w:qFormat/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sz w:val="11"/>
      <w:szCs w:val="11"/>
      <w:u w:val="none"/>
    </w:rPr>
  </w:style>
  <w:style w:type="character" w:styleId="Style17" w:customStyle="1">
    <w:name w:val="Подпись к таблице_"/>
    <w:basedOn w:val="DefaultParagraphFont"/>
    <w:qFormat/>
    <w:rPr>
      <w:rFonts w:ascii="Times New Roman" w:hAnsi="Times New Roman" w:eastAsia="Times New Roman" w:cs="Times New Roman"/>
      <w:b w:val="false"/>
      <w:bCs w:val="false"/>
      <w:i/>
      <w:iCs/>
      <w:caps w:val="false"/>
      <w:smallCaps w:val="false"/>
      <w:strike w:val="false"/>
      <w:dstrike w:val="false"/>
      <w:sz w:val="28"/>
      <w:szCs w:val="28"/>
      <w:u w:val="none"/>
    </w:rPr>
  </w:style>
  <w:style w:type="character" w:styleId="Style18" w:customStyle="1">
    <w:name w:val="Другое_"/>
    <w:basedOn w:val="DefaultParagraphFont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z w:val="26"/>
      <w:szCs w:val="26"/>
      <w:u w:val="none"/>
    </w:rPr>
  </w:style>
  <w:style w:type="character" w:styleId="4" w:customStyle="1">
    <w:name w:val="Основной текст (4)_"/>
    <w:basedOn w:val="DefaultParagraphFont"/>
    <w:link w:val="40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EBEBEB"/>
      <w:sz w:val="20"/>
      <w:szCs w:val="20"/>
      <w:u w:val="none"/>
    </w:rPr>
  </w:style>
  <w:style w:type="character" w:styleId="1" w:customStyle="1">
    <w:name w:val="Заголовок №1_"/>
    <w:basedOn w:val="DefaultParagraphFont"/>
    <w:link w:val="10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EBEBEB"/>
      <w:sz w:val="50"/>
      <w:szCs w:val="50"/>
      <w:u w:val="none"/>
    </w:rPr>
  </w:style>
  <w:style w:type="character" w:styleId="31" w:customStyle="1">
    <w:name w:val="Основной текст (3)_"/>
    <w:basedOn w:val="DefaultParagraphFont"/>
    <w:link w:val="31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EBEBEB"/>
      <w:sz w:val="18"/>
      <w:szCs w:val="18"/>
      <w:u w:val="none"/>
    </w:rPr>
  </w:style>
  <w:style w:type="character" w:styleId="5" w:customStyle="1">
    <w:name w:val="Основной текст (5)_"/>
    <w:basedOn w:val="DefaultParagraphFont"/>
    <w:link w:val="50"/>
    <w:qFormat/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sz w:val="20"/>
      <w:szCs w:val="20"/>
      <w:u w:val="none"/>
    </w:rPr>
  </w:style>
  <w:style w:type="character" w:styleId="6" w:customStyle="1">
    <w:name w:val="Основной текст (6)_"/>
    <w:basedOn w:val="DefaultParagraphFont"/>
    <w:link w:val="60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z w:val="30"/>
      <w:szCs w:val="30"/>
      <w:u w:val="none"/>
    </w:rPr>
  </w:style>
  <w:style w:type="character" w:styleId="22" w:customStyle="1">
    <w:name w:val="Заголовок №2_"/>
    <w:basedOn w:val="DefaultParagraphFont"/>
    <w:link w:val="22"/>
    <w:qFormat/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sz w:val="32"/>
      <w:szCs w:val="32"/>
      <w:u w:val="none"/>
    </w:rPr>
  </w:style>
  <w:style w:type="character" w:styleId="Style19" w:customStyle="1">
    <w:name w:val="Интернет-ссылка"/>
    <w:rPr>
      <w:color w:val="000080"/>
      <w:u w:val="single"/>
    </w:rPr>
  </w:style>
  <w:style w:type="character" w:styleId="Style20" w:customStyle="1">
    <w:name w:val="Ссылка указателя"/>
    <w:qFormat/>
    <w:rPr/>
  </w:style>
  <w:style w:type="character" w:styleId="Style21" w:customStyle="1">
    <w:name w:val="Символ нумерации"/>
    <w:qFormat/>
    <w:rPr/>
  </w:style>
  <w:style w:type="paragraph" w:styleId="Style22" w:customStyle="1">
    <w:name w:val="Заголовок"/>
    <w:basedOn w:val="Normal"/>
    <w:next w:val="Style23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23">
    <w:name w:val="Body Text"/>
    <w:basedOn w:val="Normal"/>
    <w:pPr>
      <w:spacing w:lineRule="auto" w:line="276" w:before="0" w:after="140"/>
    </w:pPr>
    <w:rPr/>
  </w:style>
  <w:style w:type="paragraph" w:styleId="Style24">
    <w:name w:val="List"/>
    <w:basedOn w:val="Style23"/>
    <w:pPr/>
    <w:rPr>
      <w:rFonts w:ascii="PT Astra Serif" w:hAnsi="PT Astra Serif" w:cs="Noto Sans Devanagari"/>
    </w:rPr>
  </w:style>
  <w:style w:type="paragraph" w:styleId="Style25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6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Indexheading">
    <w:name w:val="index heading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11" w:customStyle="1">
    <w:name w:val="Основной текст1"/>
    <w:basedOn w:val="Normal"/>
    <w:link w:val="1"/>
    <w:qFormat/>
    <w:pPr>
      <w:shd w:val="clear" w:color="auto" w:fill="FFFFFF"/>
      <w:spacing w:lineRule="auto" w:line="259"/>
      <w:ind w:firstLine="400"/>
    </w:pPr>
    <w:rPr>
      <w:rFonts w:ascii="Times New Roman" w:hAnsi="Times New Roman" w:eastAsia="Times New Roman" w:cs="Times New Roman"/>
      <w:sz w:val="26"/>
      <w:szCs w:val="26"/>
    </w:rPr>
  </w:style>
  <w:style w:type="paragraph" w:styleId="23" w:customStyle="1">
    <w:name w:val="Колонтитул (2)"/>
    <w:basedOn w:val="Normal"/>
    <w:link w:val="24"/>
    <w:qFormat/>
    <w:pPr>
      <w:shd w:val="clear" w:color="auto" w:fill="FFFFFF"/>
    </w:pPr>
    <w:rPr>
      <w:rFonts w:ascii="Times New Roman" w:hAnsi="Times New Roman" w:eastAsia="Times New Roman" w:cs="Times New Roman"/>
      <w:sz w:val="20"/>
      <w:szCs w:val="20"/>
    </w:rPr>
  </w:style>
  <w:style w:type="paragraph" w:styleId="Style27" w:customStyle="1">
    <w:name w:val="Оглавление"/>
    <w:basedOn w:val="Normal"/>
    <w:qFormat/>
    <w:pPr>
      <w:shd w:val="clear" w:color="auto" w:fill="FFFFFF"/>
      <w:spacing w:lineRule="auto" w:line="259"/>
      <w:ind w:firstLine="160"/>
    </w:pPr>
    <w:rPr>
      <w:rFonts w:ascii="Times New Roman" w:hAnsi="Times New Roman" w:eastAsia="Times New Roman" w:cs="Times New Roman"/>
      <w:b/>
      <w:bCs/>
      <w:sz w:val="26"/>
      <w:szCs w:val="26"/>
    </w:rPr>
  </w:style>
  <w:style w:type="paragraph" w:styleId="32" w:customStyle="1">
    <w:name w:val="Заголовок №3"/>
    <w:basedOn w:val="Normal"/>
    <w:link w:val="30"/>
    <w:qFormat/>
    <w:pPr>
      <w:shd w:val="clear" w:color="auto" w:fill="FFFFFF"/>
      <w:spacing w:lineRule="auto" w:line="259" w:before="0" w:after="330"/>
      <w:jc w:val="center"/>
      <w:outlineLvl w:val="2"/>
    </w:pPr>
    <w:rPr>
      <w:rFonts w:ascii="Times New Roman" w:hAnsi="Times New Roman" w:eastAsia="Times New Roman" w:cs="Times New Roman"/>
      <w:b/>
      <w:bCs/>
      <w:sz w:val="26"/>
      <w:szCs w:val="26"/>
    </w:rPr>
  </w:style>
  <w:style w:type="paragraph" w:styleId="Style28" w:customStyle="1">
    <w:name w:val="Подпись к картинке"/>
    <w:basedOn w:val="Normal"/>
    <w:qFormat/>
    <w:pPr>
      <w:shd w:val="clear" w:color="auto" w:fill="FFFFFF"/>
    </w:pPr>
    <w:rPr>
      <w:rFonts w:ascii="Arial" w:hAnsi="Arial" w:eastAsia="Arial" w:cs="Arial"/>
      <w:b/>
      <w:bCs/>
      <w:sz w:val="11"/>
      <w:szCs w:val="11"/>
    </w:rPr>
  </w:style>
  <w:style w:type="paragraph" w:styleId="24" w:customStyle="1">
    <w:name w:val="Основной текст (2)"/>
    <w:basedOn w:val="Normal"/>
    <w:link w:val="21"/>
    <w:qFormat/>
    <w:pPr>
      <w:shd w:val="clear" w:color="auto" w:fill="FFFFFF"/>
      <w:spacing w:lineRule="auto" w:line="348"/>
    </w:pPr>
    <w:rPr>
      <w:rFonts w:ascii="Arial" w:hAnsi="Arial" w:eastAsia="Arial" w:cs="Arial"/>
      <w:b/>
      <w:bCs/>
      <w:sz w:val="11"/>
      <w:szCs w:val="11"/>
    </w:rPr>
  </w:style>
  <w:style w:type="paragraph" w:styleId="Style29" w:customStyle="1">
    <w:name w:val="Подпись к таблице"/>
    <w:basedOn w:val="Normal"/>
    <w:qFormat/>
    <w:pPr>
      <w:shd w:val="clear" w:color="auto" w:fill="FFFFFF"/>
    </w:pPr>
    <w:rPr>
      <w:rFonts w:ascii="Times New Roman" w:hAnsi="Times New Roman" w:eastAsia="Times New Roman" w:cs="Times New Roman"/>
      <w:i/>
      <w:iCs/>
      <w:sz w:val="28"/>
      <w:szCs w:val="28"/>
    </w:rPr>
  </w:style>
  <w:style w:type="paragraph" w:styleId="Style30" w:customStyle="1">
    <w:name w:val="Другое"/>
    <w:basedOn w:val="Normal"/>
    <w:qFormat/>
    <w:pPr>
      <w:shd w:val="clear" w:color="auto" w:fill="FFFFFF"/>
      <w:spacing w:lineRule="auto" w:line="259"/>
      <w:ind w:firstLine="400"/>
    </w:pPr>
    <w:rPr>
      <w:rFonts w:ascii="Times New Roman" w:hAnsi="Times New Roman" w:eastAsia="Times New Roman" w:cs="Times New Roman"/>
      <w:sz w:val="26"/>
      <w:szCs w:val="26"/>
    </w:rPr>
  </w:style>
  <w:style w:type="paragraph" w:styleId="41" w:customStyle="1">
    <w:name w:val="Основной текст (4)"/>
    <w:basedOn w:val="Normal"/>
    <w:link w:val="4"/>
    <w:qFormat/>
    <w:pPr>
      <w:shd w:val="clear" w:color="auto" w:fill="FFFFFF"/>
    </w:pPr>
    <w:rPr>
      <w:rFonts w:ascii="Times New Roman" w:hAnsi="Times New Roman" w:eastAsia="Times New Roman" w:cs="Times New Roman"/>
      <w:b/>
      <w:bCs/>
      <w:color w:val="EBEBEB"/>
      <w:sz w:val="20"/>
      <w:szCs w:val="20"/>
    </w:rPr>
  </w:style>
  <w:style w:type="paragraph" w:styleId="12" w:customStyle="1">
    <w:name w:val="Заголовок №1"/>
    <w:basedOn w:val="Normal"/>
    <w:qFormat/>
    <w:pPr>
      <w:shd w:val="clear" w:color="auto" w:fill="FFFFFF"/>
      <w:outlineLvl w:val="0"/>
    </w:pPr>
    <w:rPr>
      <w:rFonts w:ascii="Times New Roman" w:hAnsi="Times New Roman" w:eastAsia="Times New Roman" w:cs="Times New Roman"/>
      <w:b/>
      <w:bCs/>
      <w:color w:val="EBEBEB"/>
      <w:sz w:val="50"/>
      <w:szCs w:val="50"/>
    </w:rPr>
  </w:style>
  <w:style w:type="paragraph" w:styleId="33" w:customStyle="1">
    <w:name w:val="Основной текст (3)"/>
    <w:basedOn w:val="Normal"/>
    <w:qFormat/>
    <w:pPr>
      <w:shd w:val="clear" w:color="auto" w:fill="FFFFFF"/>
      <w:spacing w:lineRule="auto" w:line="228"/>
      <w:jc w:val="center"/>
    </w:pPr>
    <w:rPr>
      <w:rFonts w:ascii="Times New Roman" w:hAnsi="Times New Roman" w:eastAsia="Times New Roman" w:cs="Times New Roman"/>
      <w:b/>
      <w:bCs/>
      <w:color w:val="EBEBEB"/>
      <w:sz w:val="18"/>
      <w:szCs w:val="18"/>
    </w:rPr>
  </w:style>
  <w:style w:type="paragraph" w:styleId="51" w:customStyle="1">
    <w:name w:val="Основной текст (5)"/>
    <w:basedOn w:val="Normal"/>
    <w:link w:val="5"/>
    <w:qFormat/>
    <w:pPr>
      <w:shd w:val="clear" w:color="auto" w:fill="FFFFFF"/>
      <w:spacing w:before="0" w:after="160"/>
      <w:ind w:firstLine="360"/>
    </w:pPr>
    <w:rPr>
      <w:rFonts w:ascii="Arial" w:hAnsi="Arial" w:eastAsia="Arial" w:cs="Arial"/>
      <w:b/>
      <w:bCs/>
      <w:sz w:val="20"/>
      <w:szCs w:val="20"/>
    </w:rPr>
  </w:style>
  <w:style w:type="paragraph" w:styleId="61" w:customStyle="1">
    <w:name w:val="Основной текст (6)"/>
    <w:basedOn w:val="Normal"/>
    <w:link w:val="6"/>
    <w:qFormat/>
    <w:pPr>
      <w:shd w:val="clear" w:color="auto" w:fill="FFFFFF"/>
    </w:pPr>
    <w:rPr>
      <w:rFonts w:ascii="Times New Roman" w:hAnsi="Times New Roman" w:eastAsia="Times New Roman" w:cs="Times New Roman"/>
      <w:sz w:val="30"/>
      <w:szCs w:val="30"/>
    </w:rPr>
  </w:style>
  <w:style w:type="paragraph" w:styleId="25" w:customStyle="1">
    <w:name w:val="Заголовок №2"/>
    <w:basedOn w:val="Normal"/>
    <w:link w:val="23"/>
    <w:qFormat/>
    <w:pPr>
      <w:shd w:val="clear" w:color="auto" w:fill="FFFFFF"/>
      <w:ind w:firstLine="560"/>
      <w:outlineLvl w:val="1"/>
    </w:pPr>
    <w:rPr>
      <w:rFonts w:ascii="Arial" w:hAnsi="Arial" w:eastAsia="Arial" w:cs="Arial"/>
      <w:b/>
      <w:bCs/>
      <w:sz w:val="32"/>
      <w:szCs w:val="32"/>
    </w:rPr>
  </w:style>
  <w:style w:type="paragraph" w:styleId="Style31" w:customStyle="1">
    <w:name w:val="Верхний и нижний колонтитулы"/>
    <w:basedOn w:val="Normal"/>
    <w:qFormat/>
    <w:pPr/>
    <w:rPr/>
  </w:style>
  <w:style w:type="paragraph" w:styleId="Style32">
    <w:name w:val="Header"/>
    <w:basedOn w:val="Style31"/>
    <w:pPr/>
    <w:rPr/>
  </w:style>
  <w:style w:type="paragraph" w:styleId="Style33" w:customStyle="1">
    <w:name w:val="Содержимое врезки"/>
    <w:basedOn w:val="Normal"/>
    <w:qFormat/>
    <w:pPr/>
    <w:rPr/>
  </w:style>
  <w:style w:type="paragraph" w:styleId="Style34">
    <w:name w:val="Footer"/>
    <w:basedOn w:val="Style31"/>
    <w:pPr>
      <w:suppressLineNumbers/>
      <w:tabs>
        <w:tab w:val="clear" w:pos="708"/>
        <w:tab w:val="center" w:pos="5158" w:leader="none"/>
        <w:tab w:val="right" w:pos="10316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numbering" w:styleId="123" w:customStyle="1">
    <w:name w:val="Нумерованный 123"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footer" Target="footer1.xml"/><Relationship Id="rId6" Type="http://schemas.openxmlformats.org/officeDocument/2006/relationships/header" Target="header3.xml"/><Relationship Id="rId7" Type="http://schemas.openxmlformats.org/officeDocument/2006/relationships/footer" Target="footer2.xml"/><Relationship Id="rId8" Type="http://schemas.openxmlformats.org/officeDocument/2006/relationships/header" Target="header4.xml"/><Relationship Id="rId9" Type="http://schemas.openxmlformats.org/officeDocument/2006/relationships/footer" Target="footer3.xml"/><Relationship Id="rId10" Type="http://schemas.openxmlformats.org/officeDocument/2006/relationships/header" Target="header5.xml"/><Relationship Id="rId11" Type="http://schemas.openxmlformats.org/officeDocument/2006/relationships/footer" Target="footer4.xml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header" Target="header6.xml"/><Relationship Id="rId15" Type="http://schemas.openxmlformats.org/officeDocument/2006/relationships/footer" Target="footer5.xml"/><Relationship Id="rId16" Type="http://schemas.openxmlformats.org/officeDocument/2006/relationships/header" Target="header7.xml"/><Relationship Id="rId17" Type="http://schemas.openxmlformats.org/officeDocument/2006/relationships/footer" Target="footer6.xml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Application>LibreOffice/6.4.7.2$Linux_X86_64 LibreOffice_project/40$Build-2</Application>
  <Pages>11</Pages>
  <Words>2262</Words>
  <Characters>14923</Characters>
  <CharactersWithSpaces>17047</CharactersWithSpaces>
  <Paragraphs>116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2024-10-15T06:28:00Z</dcterms:created>
  <dc:creator>User</dc:creator>
  <dc:description/>
  <dc:language>ru-RU</dc:language>
  <cp:lastModifiedBy/>
  <dcterms:modified xsi:type="dcterms:W3CDTF">2024-10-24T12:14:01Z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